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BFSG — CE-Kennzeichnung</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Bevor ein Produkt, dessen Übereinstimmung mit den Barrierefreiheitsanforderungen der nach § 3 Absatz 2 zu erlassenden Rechtsverordnung im Konformitätsbewertungsverfahren nach Anlage 2 nachgewiesen wurde, in den Verkehr gebracht wird, ist es vom Hersteller oder seinem Bevollmächtigten, soweit es diesem übertragen wurde, mit der CE-Kennzeichnung nach Maßgabe des Absatzes 2 zu versehen.</w:t>
      </w:r>
    </w:p>
    <w:p>
      <w:r>
        <w:t xml:space="preserve">(2) Die CE-Kennzeichnung wird deutlich sichtbar, gut lesbar und dauerhaft auf dem Produkt oder seiner Datenplakette angebracht. Falls die Art des Produkts dies nicht zulässt oder nicht rechtfertigt, wird die CE-Kennzeichnung auf der Verpackung und den Begleitunterlagen angebracht.</w:t>
      </w:r>
    </w:p>
    <w:p>
      <w:r>
        <w:t xml:space="preserve">(3) Für die CE-Kennzeichnung gelten die allgemeinen Grundsätze nach Artikel 30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ABl. L 169 vom 25.6.2019, S. 1) in der jeweils geltenden Fassung.</w:t>
      </w:r>
    </w:p>
    <w:p>
      <w:r>
        <w:rPr>
          <w:color w:val="555555"/>
          <w:sz w:val="17"/>
        </w:rPr>
        <w:t xml:space="preserve">Zitiervorschlag: § 19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