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BFSG — Einführer oder Händler als Hersteller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Auf einen Einführer oder Händler sind die §§ 6 und 7 entsprechend anzuwenden, wenn er</w:t>
      </w:r>
    </w:p>
    <w:p>
      <w:pPr>
        <w:ind w:left="420"/>
      </w:pPr>
      <w:r>
        <w:t xml:space="preserve">1. ein Produkt unter seinem eigenen Namen oder seiner eigenen Marke in den Verkehr bringt oder</w:t>
      </w:r>
    </w:p>
    <w:p>
      <w:pPr>
        <w:ind w:left="420"/>
      </w:pPr>
      <w:r>
        <w:t xml:space="preserve">2. ein bereits in den Verkehr gebrachtes Produkt so ändert, dass dessen Konformität mit den Anforderungen der nach § 3 Absatz 2 zu erlassenden Rechtsverordnung beeinträchtigt werden kann.</w:t>
      </w:r>
    </w:p>
    <w:p>
      <w:r>
        <w:rPr>
          <w:color w:val="555555"/>
          <w:sz w:val="17"/>
        </w:rPr>
        <w:t xml:space="preserve">Zitiervorschlag: § 12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