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BFDG — Kosten</w:t>
      </w:r>
    </w:p>
    <w:p>
      <w:r>
        <w:rPr>
          <w:color w:val="555555"/>
          <w:sz w:val="18"/>
        </w:rPr>
        <w:t xml:space="preserve">Bundesfreiwilligendienstgesetz</w:t>
      </w:r>
    </w:p>
    <w:p>
      <w:r>
        <w:rPr>
          <w:color w:val="555555"/>
          <w:sz w:val="18"/>
        </w:rPr>
        <w:t xml:space="preserve">Stand: 29.05.2024 (konsolidierte Textfassung, kein amtliches Inkrafttretensdatum)</w:t>
      </w:r>
    </w:p>
    <w:p>
      <w:r>
        <w:t xml:space="preserve">(1) Soweit die Freiwilligen Unterkunft, Verpflegung und Arbeitskleidung oder entsprechende Geldersatzleistungen, Mobilitätszuschläge oder entsprechende Sachleistungen erhalten, erbringen die Einsatzstellen diese Leistungen auf ihre Kosten für den Bund. Sie tragen die ihnen aus der Beschäftigung der Freiwilligen entstehenden Verwaltungskosten.</w:t>
      </w:r>
    </w:p>
    <w:p>
      <w:r>
        <w:t xml:space="preserve">(2) Für den Bund zahlen die Einsatzstellen den Freiwilligen das Taschengeld, soweit ein Taschengeld vereinbart ist. Für die Einsatzstellen gelten die Melde-, Beitragsnachweis- und Zahlungspflichten des Sozialversicherungsrechts. Die Einsatzstellen tragen die Kosten der pädagogischen Begleitung der Freiwilligen.</w:t>
      </w:r>
    </w:p>
    <w:p>
      <w:r>
        <w:t xml:space="preserve">(3) Den Einsatzstellen wird der Aufwand für das Taschengeld, die Sozialversicherungsbeiträge, die gesetzlich geregelten Zuschüsse zu Beiträgen zur Kranken- und Pflegeversicherung sowie zu einer berufsständischen Versorgungseinrichtung und die pädagogische Begleitung im Rahmen der im Haushaltsplan vorgesehenen Mittel erstattet; das Bundesministerium für Familie, Senioren, Frauen und Jugend legt im Einvernehmen mit dem Bundesministerium der Finanzen einheitliche Obergrenzen für die Erstattung fest. Der Zuschuss für den Aufwand für die pädagogische Begleitung wird nach den für das freiwillige soziale Jahr im Inland geltenden Richtlinien des Bundes festgesetzt.</w:t>
      </w:r>
    </w:p>
    <w:p>
      <w:r>
        <w:rPr>
          <w:color w:val="555555"/>
          <w:sz w:val="17"/>
        </w:rPr>
        <w:t xml:space="preserve">Zitiervorschlag: § 17 BFDG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https://recht.nulegal.eu/gesetze/BFDG/17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