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BFDG — Anwendung arbeitsrechtlicher, arbeitsschutzrechtlicher und sonstiger Bestimmungen</w:t>
      </w:r>
    </w:p>
    <w:p>
      <w:r>
        <w:rPr>
          <w:color w:val="555555"/>
          <w:sz w:val="18"/>
        </w:rPr>
        <w:t xml:space="preserve">Bundesfreiwilligendienstgesetz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Für eine Tätigkeit im Rahmen eines Bundesfreiwilligendienstes im Sinne dieses Gesetzes sind die Arbeitsschutzbestimmungen und das Jugendarbeitsschutzgesetz entsprechend anzuwenden.</w:t>
      </w:r>
    </w:p>
    <w:p>
      <w:r>
        <w:t xml:space="preserve">(2) Soweit keine ausdrückliche sozialversicherungsrechtliche Regelung vorhanden ist, finden auf den Bundesfreiwilligendienst die sozialversicherungsrechtlichen Bestimmungen entsprechende Anwendung, die für die Jugendfreiwilligendienste nach dem Jugendfreiwilligendienstegesetz gelten.</w:t>
      </w:r>
    </w:p>
    <w:p>
      <w:r>
        <w:rPr>
          <w:color w:val="555555"/>
          <w:sz w:val="17"/>
        </w:rPr>
        <w:t xml:space="preserve">Zitiervorschlag: § 13 BFDG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