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BFD-WahlV — Einspruch gegen das Wählerverzeichnis</w:t>
      </w:r>
    </w:p>
    <w:p>
      <w:r>
        <w:rPr>
          <w:color w:val="555555"/>
          <w:sz w:val="18"/>
        </w:rPr>
        <w:t xml:space="preserve">BFD-Wahlverordnung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Freiwillige können beim Wahlvorstand Einspruch gegen das Wählerverzeichnis einlegen. Die Einspruchsfrist endet eine Woche vor Beginn des Wahlzeitraums.</w:t>
      </w:r>
    </w:p>
    <w:p>
      <w:r>
        <w:t xml:space="preserve">(2) Über den Einspruch entscheidet der Wahlvorstand unverzüglich. Die Entscheidung ist der Einspruchsführerin oder dem Einspruchsführer durch E-Mail mitzuteilen.</w:t>
      </w:r>
    </w:p>
    <w:p>
      <w:r>
        <w:t xml:space="preserve">(3) Ist der Einspruch begründet, berichtigt der Wahlvorstand das Wählerverzeichnis.</w:t>
      </w:r>
    </w:p>
    <w:p>
      <w:r>
        <w:rPr>
          <w:color w:val="555555"/>
          <w:sz w:val="17"/>
        </w:rPr>
        <w:t xml:space="preserve">Zitiervorschlag: § 6 BFD-WahlV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https://recht.nulegal.eu/gesetze/BFD-WahlV/6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