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BEZNG — Haftung des Bundes</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Das Bundeseisenbahnvermögen ist unbeschadet der Schuldmitübernahme nach § 1 Abs. 2 des Schuldenmitübernahmegesetzes vom 21. Juni 1999 (BGBl. I S. 1384) von dem übrigen Vermögen des Bundes, seinen Rechten und Verbindlichkeiten getrennt zu halten.</w:t>
      </w:r>
    </w:p>
    <w:p>
      <w:r>
        <w:t xml:space="preserve">(2) Für die Verbindlichkeiten des Bundeseisenbahnvermögens haftet der Bund nur mit diesem Vermögen. Das Bundeseisenbahnvermögen haftet nicht für die sonstigen Verbindlichkeiten des Bundes.</w:t>
      </w:r>
    </w:p>
    <w:p>
      <w:r>
        <w:t xml:space="preserve">(3) Von der Eintragung der nach § 1 Abs. 1 des Deutsche Bahn Gründungsgesetzes zu errichtenden Gesellschaft in das Handelsregister an haftet die Bundesrepublik Deutschland für die im Zeitpunkt der Eintragung bestehenden Verbindlichkeiten des Bundeseisenbahnvermögens mit Ausnahme der Verbindlichkeiten, die in § 20 Abs. 1 Satz 2 genannt sind. Satz 1 gilt entsprechend für Verbindlichkeiten, die das Bundeseisenbahnvermögen gemäß § 17 eingeht.</w:t>
      </w:r>
    </w:p>
    <w:p>
      <w:r>
        <w:rPr>
          <w:color w:val="555555"/>
          <w:sz w:val="17"/>
        </w:rPr>
        <w:t xml:space="preserve">Zitiervorschlag: § 5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