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BEZNG — Stellung im gerichtlichen und außergerichtlichen Verkehr</w:t>
      </w:r>
    </w:p>
    <w:p>
      <w:r>
        <w:rPr>
          <w:color w:val="555555"/>
          <w:sz w:val="18"/>
        </w:rPr>
        <w:t xml:space="preserve">Bundeseisenbahnneugliederungsgesetz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Bundeseisenbahnvermögen kann im Rechtsverkehr unter seinem Namen handeln, klagen und verklagt werden.</w:t>
      </w:r>
    </w:p>
    <w:p>
      <w:r>
        <w:t xml:space="preserve">(2) Der allgemeine Gerichtsstand des Bundeseisenbahnvermögens wird durch den Sitz der Behörde bestimmt, die nach der in § 6 Abs. 6 genannten Verwaltungsordnung berufen ist, das Bundeseisenbahnvermögen im Rechtsstreit zu vertreten.</w:t>
      </w:r>
    </w:p>
    <w:p>
      <w:r>
        <w:rPr>
          <w:color w:val="555555"/>
          <w:sz w:val="17"/>
        </w:rPr>
        <w:t xml:space="preserve">Zitiervorschlag: § 4 BEZNG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https://recht.nulegal.eu/gesetze/BEZNG/4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