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BEZNG — Auflösung des Bundeseisenbahnvermögens</w:t>
      </w:r>
    </w:p>
    <w:p>
      <w:r>
        <w:rPr>
          <w:color w:val="555555"/>
          <w:sz w:val="18"/>
        </w:rPr>
        <w:t xml:space="preserve">Bundeseisenbahnneugliederungsgesetz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Bundesregierung wird ermächtigt, frühestens zehn Jahre nach Inkrafttreten dieses Gesetzes das Bundeseisenbahnvermögen aufzulösen und die von ihm noch wahrgenommenen Aufgaben auf das Eisenbahn-Bundesamt, das Bundesministerium für Verkehr und digitale Infrastruktur oder die Bundesschuldenverwaltung zu übertragen.</w:t>
      </w:r>
    </w:p>
    <w:p>
      <w:r>
        <w:t xml:space="preserve">(2) Die nach § 17 des Deutsche Bahn Gründungsgesetzes gebildeten besonderen Personalvertretungen, Jugend- und Auszubildendenvertretungen sowie Schwerbehindertenvertretungen bestehen bei Auflösung des Bundeseisenbahnvermögens nach Absatz 1 bei der Stelle fort, der die Aufgaben des Bundeseisenbahnvermögens übertragen werden.</w:t>
      </w:r>
    </w:p>
    <w:p>
      <w:r>
        <w:rPr>
          <w:color w:val="555555"/>
          <w:sz w:val="17"/>
        </w:rPr>
        <w:t xml:space="preserve">Zitiervorschlag: § 30 BEZNG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https://recht.nulegal.eu/gesetze/BEZNG/30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