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BEZNG — Gliederung und Aufgaben des Bundeseisenbahnvermögens</w:t>
      </w:r>
    </w:p>
    <w:p>
      <w:r>
        <w:rPr>
          <w:color w:val="555555"/>
          <w:sz w:val="18"/>
        </w:rPr>
        <w:t xml:space="preserve">Bundeseisenbahnneugliederungsgesetz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Bundeseisenbahnvermögen ist in zwei Bereiche gegliedert:</w:t>
      </w:r>
    </w:p>
    <w:p>
      <w:pPr>
        <w:ind w:left="420"/>
      </w:pPr>
      <w:r>
        <w:t xml:space="preserve">1. Unternehmerischer Bereich; er umfaßt das Erbringen von Eisenbahnverkehrsleistungen sowie das Betreiben der Eisenbahninfrastruktur;</w:t>
      </w:r>
    </w:p>
    <w:p>
      <w:pPr>
        <w:ind w:left="420"/>
      </w:pPr>
      <w:r>
        <w:t xml:space="preserve">2. Verwaltungsbereich.</w:t>
      </w:r>
    </w:p>
    <w:p>
      <w:r>
        <w:t xml:space="preserve">(2) Das Bundeseisenbahnvermögen hat insbesondere folgende Aufgaben:</w:t>
      </w:r>
    </w:p>
    <w:p>
      <w:pPr>
        <w:ind w:left="420"/>
      </w:pPr>
      <w:r>
        <w:t xml:space="preserve">1. Erfüllung der in § 20 Abs. 1 und 2 bestimmten Übertragungsverpflichtungen,</w:t>
      </w:r>
    </w:p>
    <w:p>
      <w:pPr>
        <w:ind w:left="420"/>
      </w:pPr>
      <w:r>
        <w:t xml:space="preserve">2. Wahrnehmung der hoheitlichen Aufgaben, die bis zum Inkrafttreten dieses Gesetzes von den in § 1 genannten Sondervermögen wahrgenommen worden sind, bis zur Errichtung des Eisenbahn-Bundesamtes gemäß § 2 Abs. 1 des Gesetzes über die Eisenbahnverkehrsverwaltung des Bundes vom 27. Dezember 1993 (BGBl. I S. 2378, 2394),</w:t>
      </w:r>
    </w:p>
    <w:p>
      <w:pPr>
        <w:ind w:left="420"/>
      </w:pPr>
      <w:r>
        <w:t xml:space="preserve">3. die Verwaltung des Personals, welches gemäß § 12 Abs. 2 und 3 des Deutsche Bahn Gründungsgesetzes vom 27. Dezember 1993 (BGBl. I S. 2378, 2386) der Deutsche Bahn Aktiengesellschaft zugewiesen ist,</w:t>
      </w:r>
    </w:p>
    <w:p>
      <w:pPr>
        <w:ind w:left="420"/>
      </w:pPr>
      <w:r>
        <w:t xml:space="preserve">4. die Unterstützung der Verwaltung der zinspflichtigen Verbindlichkeiten des Bundeseisenbahnvermögens,</w:t>
      </w:r>
    </w:p>
    <w:p>
      <w:pPr>
        <w:ind w:left="420"/>
      </w:pPr>
      <w:r>
        <w:t xml:space="preserve">5. die Verwaltung und Verwertung der Liegenschaften, die im Sinne des § 20 Abs. 1 nicht bahnnotwendig sind.</w:t>
      </w:r>
    </w:p>
    <w:p>
      <w:r>
        <w:rPr>
          <w:color w:val="555555"/>
          <w:sz w:val="17"/>
        </w:rPr>
        <w:t xml:space="preserve">Zitiervorschlag: § 3 BEZNG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https://recht.nulegal.eu/gesetze/BEZNG/3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