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BEZNG — Übertragung von Liegenschaften auf Dritte</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Die Deutsche Bahn Aktiengesellschaft ist berechtigt und verpflichtet, für die Durchführung von Schienenpersonennahverkehr notwendige Liegenschaften auf Verlangen einer Gebietskörperschaft oder eines Zusammenschlusses von Gebietskörperschaften (Aufgabenträger), zu deren Aufgaben die Sicherung einer angemessenen Verkehrsbedienung im öffentlichen Personennahverkehr nach dem Regionalisierungsgesetz vom 27. Dezember 1993 (BGBl. I S. 2378, 2395) gehört, zu übertragen, soweit dies für den Betrieb der Eisenbahninfrastruktur notwendig (bahnnotwendig) ist. § 20 Abs. 1 Satz 2 gilt entsprechend.</w:t>
      </w:r>
    </w:p>
    <w:p>
      <w:r>
        <w:t xml:space="preserve">(2) Voraussetzung für einen Anspruch auf Übertragung der Liegenschaften nach Absatz 1 ist, daß</w:t>
      </w:r>
    </w:p>
    <w:p>
      <w:pPr>
        <w:ind w:left="420"/>
      </w:pPr>
      <w:r>
        <w:t xml:space="preserve">- die Eisenbahninfrastruktur bei Geltendmachung des Anspruches auf Übertragung der Liegenschaften ausschließlich oder ganz überwiegend für Zwecke des Schienenpersonennahverkehrs genutzt wird,</w:t>
      </w:r>
    </w:p>
    <w:p>
      <w:pPr>
        <w:ind w:left="420"/>
      </w:pPr>
      <w:r>
        <w:t xml:space="preserve">- die Eisenbahnen des Bundes zum Erbringen von Verkehrsleistungen nicht mehr bereit sind,</w:t>
      </w:r>
    </w:p>
    <w:p>
      <w:pPr>
        <w:ind w:left="420"/>
      </w:pPr>
      <w:r>
        <w:t xml:space="preserve">- eine Vereinbarung mit Aufgabenträgern über das Erbringen von Verkehrsleistungen auf der Eisenbahninfrastruktur der Eisenbahnen des Bundes über die Finanzierung des Betriebes der Eisenbahninfrastruktur nicht zustande gekommen ist sowie</w:t>
      </w:r>
    </w:p>
    <w:p>
      <w:pPr>
        <w:ind w:left="420"/>
      </w:pPr>
      <w:r>
        <w:t xml:space="preserve">- der Aufgabenträger das Erbringen von Verkehrsleistungen im Schienenpersonennahverkehr für mindestens 15 Jahre und das Betreiben der Eisenbahninfrastruktur für mindestens 30 Jahre garantiert.</w:t>
      </w:r>
    </w:p>
    <w:p>
      <w:r>
        <w:t xml:space="preserve">(3) Die Übertragung der Liegenschaften sowie der durch dingliche Rechte an diesen Liegenschaften gesicherten Verbindlichkeiten erfolgt durch Vertrag, der der Zustimmung des Bundesministeriums für Verkehr und digitale Infrastruktur bedarf.</w:t>
      </w:r>
    </w:p>
    <w:p>
      <w:r>
        <w:t xml:space="preserve">(4) Die Liegenschaften sind im übrigen kostenfrei zu übertragen, es sei denn, die Deutsche Bahn Aktiengesellschaft hat nach Abschluß der Verfahren nach den §§ 22 bis 24 Investitionen getätigt; in diesem Fall hat der Aufgabenträger die anteiligen Abschreibungen und Zinsen zu übernehmen.</w:t>
      </w:r>
    </w:p>
    <w:p>
      <w:r>
        <w:t xml:space="preserve">(5) Im Streitfall entscheidet über den Inhalt des Vertrages, insbesondere über die Rechte und Pflichten nach § 20 Abs. 1 Satz 2 auf Anrufung eines der Beteiligten das im Vertrag vorzusehende Schiedsgericht.</w:t>
      </w:r>
    </w:p>
    <w:p>
      <w:r>
        <w:t xml:space="preserve">(6) In dem Vertrag nach Absatz 3 sind auch Regelungen über die Rückübertragung der Liegenschaften auf die Deutsche Bahn Aktiengesellschaft zu treffen, wenn der Aufgabenträger die Garantie für das Erbringen von Verkehrsleistungen im Schienenpersonennahverkehr für mindestens 15 Jahre und das Betreiben der Eisenbahninfrastruktur für mindestens 30 Jahre nicht einhält.</w:t>
      </w:r>
    </w:p>
    <w:p>
      <w:r>
        <w:t xml:space="preserve">(7) Für die Übertragung nach Absatz 1 und die Rückübertragung gilt § 11 Abs. 2 des Deutsche Bahn Gründungsgesetzes entsprechend.</w:t>
      </w:r>
    </w:p>
    <w:p>
      <w:r>
        <w:rPr>
          <w:color w:val="555555"/>
          <w:sz w:val="17"/>
        </w:rPr>
        <w:t xml:space="preserve">Zitiervorschlag: § 26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