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25 BEZNG — Verwaltungsvorschriften</w:t>
      </w:r>
    </w:p>
    <w:p>
      <w:r>
        <w:rPr>
          <w:color w:val="555555"/>
          <w:sz w:val="18"/>
        </w:rPr>
        <w:t xml:space="preserve">Bundeseisenbahnneugliederungsgesetz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Verwaltungsvorschriften zur Durchführung der §§ 20 bis 24 erläßt das Bundesministerium für Verkehr und digitale Infrastruktur im Einvernehmen mit dem Bundesministerium der Finanzen.</w:t>
      </w:r>
    </w:p>
    <w:p>
      <w:r>
        <w:rPr>
          <w:color w:val="555555"/>
          <w:sz w:val="17"/>
        </w:rPr>
        <w:t xml:space="preserve">Zitiervorschlag: § 25 BEZNG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https://recht.nulegal.eu/gesetze/BEZNG/25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