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BEZNG — Vermögen des Bundeseisenbahnvermögens</w:t>
      </w:r>
    </w:p>
    <w:p>
      <w:r>
        <w:rPr>
          <w:color w:val="555555"/>
          <w:sz w:val="18"/>
        </w:rPr>
        <w:t xml:space="preserve">Bundeseisenbahnneugliederungsgesetz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Vermögensgegenstände und -rechte sowie Verbindlichkeiten der in § 1 genannten Sondervermögen "Deutsche Bundesbahn" und "Deutsche Reichsbahn" sind Vermögensgegenstände und -rechte sowie Verbindlichkeiten des Bundeseisenbahnvermögens.</w:t>
      </w:r>
    </w:p>
    <w:p>
      <w:r>
        <w:rPr>
          <w:color w:val="555555"/>
          <w:sz w:val="17"/>
        </w:rPr>
        <w:t xml:space="preserve">Zitiervorschlag: § 2 BEZNG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https://recht.nulegal.eu/gesetze/BEZNG/2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