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BEZNG — Jahresabschluß und Berichtspflicht</w:t>
      </w:r>
    </w:p>
    <w:p>
      <w:r>
        <w:rPr>
          <w:color w:val="555555"/>
          <w:sz w:val="18"/>
        </w:rPr>
        <w:t xml:space="preserve">Bundeseisenbahnneugliederungsgesetz</w:t>
      </w:r>
    </w:p>
    <w:p>
      <w:r>
        <w:rPr>
          <w:color w:val="555555"/>
          <w:sz w:val="18"/>
        </w:rPr>
        <w:t xml:space="preserve">Stand: 10.06.2019 (konsolidierte Textfassung, kein amtliches Inkrafttretensdatum)</w:t>
      </w:r>
    </w:p>
    <w:p>
      <w:r>
        <w:t xml:space="preserve">(1) Das Bundeseisenbahnvermögen stellt am Schluß eines jeden Kalenderjahres die Jahresrechnung für das Sondervermögen auf. Die Jahresrechnung muß den Bestand des Sondervermögens einschließlich der Forderungen und Verbindlichkeiten erkennen lassen sowie die Einnahmen und Ausgaben nachweisen.</w:t>
      </w:r>
    </w:p>
    <w:p>
      <w:r>
        <w:t xml:space="preserve">(2) Das Bundeseisenbahnvermögen berichtet dem Bundesministerium für Verkehr und digitale Infrastruktur jährlich über seine Tätigkeit, und zwar gegliedert nach</w:t>
      </w:r>
    </w:p>
    <w:p>
      <w:pPr>
        <w:ind w:left="420"/>
      </w:pPr>
      <w:r>
        <w:t xml:space="preserve">1. Personaleinsatz und Personalkosten,</w:t>
      </w:r>
    </w:p>
    <w:p>
      <w:pPr>
        <w:ind w:left="420"/>
      </w:pPr>
      <w:r>
        <w:t xml:space="preserve">2. Verwaltung der Verbindlichkeiten,</w:t>
      </w:r>
    </w:p>
    <w:p>
      <w:pPr>
        <w:ind w:left="420"/>
      </w:pPr>
      <w:r>
        <w:t xml:space="preserve">3. Verwertung von Grundstücken.</w:t>
      </w:r>
    </w:p>
    <w:p>
      <w:r>
        <w:t xml:space="preserve">(3) Das Bundeseisenbahnvermögen ist verpflichtet, dem Bundesministerium für Verkehr und digitale Infrastruktur auf Verlangen Auskunft über die wesentlichen Vorgänge in der Verwaltung und Wirtschaftsführung des Bundeseisenbahnvermögens zu erteilen.</w:t>
      </w:r>
    </w:p>
    <w:p>
      <w:r>
        <w:rPr>
          <w:color w:val="555555"/>
          <w:sz w:val="17"/>
        </w:rPr>
        <w:t xml:space="preserve">Zitiervorschlag: § 18 BEZNG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https://recht.nulegal.eu/gesetze/BEZNG/18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