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BEZNG — Schuldurkunden</w:t>
      </w:r>
    </w:p>
    <w:p>
      <w:r>
        <w:rPr>
          <w:color w:val="555555"/>
          <w:sz w:val="18"/>
        </w:rPr>
        <w:t xml:space="preserve">Bundeseisenbahnneugliederungsgesetz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Schuldurkunden des Bundeseisenbahnvermögens stehen den Schuldurkunden des Bundes gleich. § 5 Abs. 2 Satz 1 und Abs. 3 bleibt unberührt.</w:t>
      </w:r>
    </w:p>
    <w:p>
      <w:r>
        <w:t xml:space="preserve">(2) Die Schulden des Bundeseisenbahnvermögens werden nach den für die Verwaltung der allgemeinen Bundesschuld jeweils geltenden Grundsätzen verwaltet.</w:t>
      </w:r>
    </w:p>
    <w:p>
      <w:r>
        <w:rPr>
          <w:color w:val="555555"/>
          <w:sz w:val="17"/>
        </w:rPr>
        <w:t xml:space="preserve">Zitiervorschlag: § 17 BEZNG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https://recht.nulegal.eu/gesetze/BEZNG/17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