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BEZNG — Gesetzliche Sozialeinrichtungen</w:t>
      </w:r>
    </w:p>
    <w:p>
      <w:r>
        <w:rPr>
          <w:color w:val="555555"/>
          <w:sz w:val="18"/>
        </w:rPr>
        <w:t xml:space="preserve">Bundeseisenbahnneugliederungsgesetz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Bundeseisenbahnvermögen führt für seinen Bereich auf dem Gebiet der Krankenversicherung die Aufgaben der bisherigen Bundeseisenbahnen weiter.</w:t>
      </w:r>
    </w:p>
    <w:p>
      <w:r>
        <w:t xml:space="preserve">(2) (weggefallen)</w:t>
      </w:r>
    </w:p>
    <w:p>
      <w:r>
        <w:t xml:space="preserve">(3) (weggefallen)</w:t>
      </w:r>
    </w:p>
    <w:p>
      <w:r>
        <w:t xml:space="preserve">(4) Die Zuständigkeiten der Bundesbahn-Betriebskrankenkasse sowie der Reichsbahn-Betriebskrankenkasse, auch für den Fall der Vereinigung der beiden Kassen zur Bahnbetriebskrankenkasse, erstrecken sich auf die Deutsche Bahn Aktiengesellschaft.</w:t>
      </w:r>
    </w:p>
    <w:p>
      <w:r>
        <w:rPr>
          <w:color w:val="555555"/>
          <w:sz w:val="17"/>
        </w:rPr>
        <w:t xml:space="preserve">Zitiervorschlag: § 13 BEZNG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https://recht.nulegal.eu/gesetze/BEZNG/13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