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BEZNG — Besoldungsrechtliche Regelungen</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Beim Bundeseisenbahnvermögen können die nach § 26 Abs. 1 des Bundesbesoldungsgesetzes oder den Verordnungen zu § 26 Abs. 4 Nr. 1 und 2 des Bundesbesoldungsgesetzes zulässigen Obergrenzen für Beförderungsämter nach Maßgabe sachgerechter Bewertung überschritten werden, soweit dies zur Vermeidung von Verschlechterungen der Beförderungsverhältnisse infolge laufender Verringerung des Personalbestandes beim Bundeseisenbahnvermögen erforderlich ist. Überschreitungen sind in jeder Besoldungsgruppe im Rahmen sachgerechter Bewertung zulässig.</w:t>
      </w:r>
    </w:p>
    <w:p>
      <w:r>
        <w:t xml:space="preserve">(2) § 18 des Bundesbesoldungsgesetzes findet mit der Maßgabe Anwendung, daß gleichwertige Tätigkeiten bei der Deutsche Bahn Aktiengesellschaft als amtsgemäße Funktionen gelten. § 11 bleibt unberührt.</w:t>
      </w:r>
    </w:p>
    <w:p>
      <w:r>
        <w:rPr>
          <w:color w:val="555555"/>
          <w:sz w:val="17"/>
        </w:rPr>
        <w:t xml:space="preserve">Zitiervorschlag: § 12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