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BEZNG — Verwendung auf anderen Dienstposten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 oder die von ihm bestimmten Dienststellen des Bundeseisenbahnvermögens können einen Beamten vorübergehend auf einem anderen Dienstposten von geringerer Bewertung unter Belassung seiner Amtsbezeichnung und seiner Dienstbezüge verwenden, wenn</w:t>
      </w:r>
    </w:p>
    <w:p>
      <w:pPr>
        <w:ind w:left="420"/>
      </w:pPr>
      <w:r>
        <w:t xml:space="preserve">1. dienstliche Gründe beim Bundeseisenbahnvermögen oder</w:t>
      </w:r>
    </w:p>
    <w:p>
      <w:pPr>
        <w:ind w:left="420"/>
      </w:pPr>
      <w:r>
        <w:t xml:space="preserve">2. dienstliche oder betriebliche Gründe bei einer Gesellschaft, der der Beamte gemäß § 12 Abs. 2 und 3 des Deutsche Bahn Gründungsgesetzes zugewiesen ist,</w:t>
      </w:r>
    </w:p>
    <w:p>
      <w:r>
        <w:t xml:space="preserve">es erfordern. Dienstliche Gründe im Sinne der Nummern 1 und 2 sind solche, die sich aus Änderungen der Organisation des Bundeseisenbahnvermögens oder der Gesellschaft ergeben.</w:t>
      </w:r>
    </w:p>
    <w:p>
      <w:r>
        <w:rPr>
          <w:color w:val="555555"/>
          <w:sz w:val="17"/>
        </w:rPr>
        <w:t xml:space="preserve">Zitiervorschlag: § 11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