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BEVVG — Bundesstelle für Eisenbahnunfalluntersuchung</w:t>
      </w:r>
    </w:p>
    <w:p>
      <w:r>
        <w:rPr>
          <w:color w:val="555555"/>
          <w:sz w:val="18"/>
        </w:rPr>
        <w:t xml:space="preserve">Bundeseisenbahnverkehrsverwaltungsgesetz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selbständige Bundesoberbehörde für Aufgaben der Untersuchung gefährlicher Ereignisse im Eisenbahnbetrieb wird die Bundesstelle für Eisenbahnunfalluntersuchung errichtet, die dem Bundesministerium für Verkehr und digitale Infrastruktur untersteht.</w:t>
      </w:r>
    </w:p>
    <w:p>
      <w:r>
        <w:t xml:space="preserve">(2) Das Bundesministerium für Verkehr und digitale Infrastruktur bestimmt den Sitz der Bundesstelle für Eisenbahnunfalluntersuchung und regelt ihren Aufbau.</w:t>
      </w:r>
    </w:p>
    <w:p>
      <w:r>
        <w:t xml:space="preserve">(3) Vermögensgegenstände, die zur Erfüllung der Aufgaben der Bundesstelle für Eisenbahnunfalluntersuchung aus den Beständen des Bundeseisenbahnvermögens oder des Eisenbahn-Bundesamtes entnommen werden, werden ohne Wertausgleich übertragen. Einzelheiten legt das Bundesministerium für Verkehr und digitale Infrastruktur im Einvernehmen mit dem Bundesministerium der Finanzen fest.</w:t>
      </w:r>
    </w:p>
    <w:p>
      <w:r>
        <w:t xml:space="preserve">(4) Beamte und Arbeitnehmer des Eisenbahn-Bundesamtes, die zum Zeitpunkt der Errichtung der Bundesstelle für Eisenbahnunfalluntersuchung Aufgaben wahrnehmen, die nach § 7 dieser Stelle obliegen, sind von diesem Zeitpunkt an Beamte und Arbeitnehmer bei der Bundesstelle für Eisenbahnunfalluntersuchung.</w:t>
      </w:r>
    </w:p>
    <w:p>
      <w:r>
        <w:t xml:space="preserve">(5) Die Bundesstelle für Eisenbahnunfalluntersuchung wird von einem Direktor oder einer Direktorin geleitet.</w:t>
      </w:r>
    </w:p>
    <w:p>
      <w:r>
        <w:rPr>
          <w:color w:val="555555"/>
          <w:sz w:val="17"/>
        </w:rPr>
        <w:t xml:space="preserve">Zitiervorschlag: § 6 BEVVG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https://recht.nulegal.eu/gesetze/BEVVG/6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