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 BEVVG — Aufgaben des Eisenbahn-Bundesamtes</w:t>
      </w:r>
    </w:p>
    <w:p>
      <w:r>
        <w:rPr>
          <w:color w:val="555555"/>
          <w:sz w:val="18"/>
        </w:rPr>
        <w:t xml:space="preserve">Bundeseisenbahnverkehrsverwaltungsgesetz</w:t>
      </w:r>
    </w:p>
    <w:p>
      <w:r>
        <w:rPr>
          <w:color w:val="555555"/>
          <w:sz w:val="18"/>
        </w:rPr>
        <w:t xml:space="preserve">Stand: 01.10.2021 (konsolidierte Textfassung, kein amtliches Inkrafttretensdatum)</w:t>
      </w:r>
    </w:p>
    <w:p>
      <w:r>
        <w:t xml:space="preserve">(1) Dem Eisenbahn-Bundesamt obliegen folgende Aufgaben, soweit nicht die in § 4 Abs. 1 bezeichnete Behörde zuständig ist:</w:t>
      </w:r>
    </w:p>
    <w:p>
      <w:pPr>
        <w:ind w:left="420"/>
      </w:pPr>
      <w:r>
        <w:t xml:space="preserve">1. die Planfeststellung für Betriebsanlagen der Eisenbahnen des Bundes,</w:t>
      </w:r>
    </w:p>
    <w:p>
      <w:pPr>
        <w:ind w:left="420"/>
      </w:pPr>
      <w:r>
        <w:t xml:space="preserve">2. die Eisenbahnaufsicht,</w:t>
      </w:r>
    </w:p>
    <w:p>
      <w:pPr>
        <w:ind w:left="420"/>
      </w:pPr>
      <w:r>
        <w:t xml:space="preserve">3. die Bauaufsicht für Betriebsanlagen der Eisenbahnen des Bundes,</w:t>
      </w:r>
    </w:p>
    <w:p>
      <w:pPr>
        <w:ind w:left="420"/>
      </w:pPr>
      <w:r>
        <w:t xml:space="preserve">4. Erteilung und Widerruf einer Betriebsgenehmigung,</w:t>
      </w:r>
    </w:p>
    <w:p>
      <w:pPr>
        <w:ind w:left="420"/>
      </w:pPr>
      <w:r>
        <w:t xml:space="preserve">5. die Ausübung hoheitlicher Befugnisse sowie von Aufsichts- und Mitwirkungsrechten nach Maßgabe anderer Gesetze und Verordnungen,</w:t>
      </w:r>
    </w:p>
    <w:p>
      <w:pPr>
        <w:ind w:left="420"/>
      </w:pPr>
      <w:r>
        <w:t xml:space="preserve">6. die Vorbereitung und Durchführung von Vereinbarungen gemäß § 9 des Bundesschienenwegeausbaugesetzes,</w:t>
      </w:r>
    </w:p>
    <w:p>
      <w:pPr>
        <w:ind w:left="420"/>
      </w:pPr>
      <w:r>
        <w:t xml:space="preserve">7. die Feststellung des Bestehens oder Nichtbestehens der Pflicht zur Durchführung einer Umweltverträglichkeitsprüfung (UVP-Pflicht) nach § 5 Absatz 1 Satz 2 Nummer 1 des Gesetzes über die Umweltverträglichkeitsprüfung in Verbindung mit § 18 Absatz 1a Satz 5 des Allgemeinen Eisenbahngesetzes,</w:t>
      </w:r>
    </w:p>
    <w:p>
      <w:pPr>
        <w:ind w:left="420"/>
      </w:pPr>
      <w:r>
        <w:t xml:space="preserve">8. die Bewilligung von Bundesmitteln zur Förderung des Schienenverkehrs und zur Förderung der Kombination des Schienenverkehrs mit anderen Verkehrsarten.</w:t>
      </w:r>
    </w:p>
    <w:p>
      <w:r>
        <w:t xml:space="preserve">Soweit diese Aufgaben vom Verwaltungsbereich des Bundeseisenbahnvermögens im Sinne des § 3 Abs. 1 Nr. 2 des Gesetzes zur Zusammenführung und Neugliederung der Bundeseisenbahnen wahrgenommen worden sind, gehen diese Aufgaben mit der Errichtung des Eisenbahn-Bundesamts auf dieses Amt über.</w:t>
      </w:r>
    </w:p>
    <w:p>
      <w:r>
        <w:t xml:space="preserve">(1a) Das Eisenbahn-Bundesamt ist die Sicherheitsbehörde nach § 5 Absatz 1d Satz 2 und Absatz 1e Satz 2 des Allgemeinen Eisenbahngesetzes, die mit den Aufgaben der Eisenbahnsicherheit im Sinne des Rechts der Europäischen Gemeinschaften oder der Europäischen Union betraut ist.</w:t>
      </w:r>
    </w:p>
    <w:p>
      <w:r>
        <w:t xml:space="preserve">(2) Für die Durchführung von Planfeststellungsverfahren im Bereich der Eisenbahnen des Bundes ist das Eisenbahn-Bundesamt Planfeststellungs- und Anhörungsbehörde.</w:t>
      </w:r>
    </w:p>
    <w:p>
      <w:r>
        <w:t xml:space="preserve">(3) Das Eisenbahn-Bundesamt nimmt die Landeseisenbahnaufsicht und die Befugnis zur Erteilung von Genehmigungen auf der Grundlage einer Vereinbarung mit einem Land nach dessen Weisung und auf dessen Rechnung wahr.</w:t>
      </w:r>
    </w:p>
    <w:p>
      <w:r>
        <w:t xml:space="preserve">(4) (weggefallen)</w:t>
      </w:r>
    </w:p>
    <w:p>
      <w:r>
        <w:rPr>
          <w:color w:val="555555"/>
          <w:sz w:val="17"/>
        </w:rPr>
        <w:t xml:space="preserve">Zitiervorschlag: § 3 BEVVG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https://recht.nulegal.eu/gesetze/BEVVG/3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