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BEVVG — Eisenbahn-Bundesamt</w:t>
      </w:r>
    </w:p>
    <w:p>
      <w:r>
        <w:rPr>
          <w:color w:val="555555"/>
          <w:sz w:val="18"/>
        </w:rPr>
        <w:t xml:space="preserve">Bundeseisenbahnverkehrsverwaltungsgesetz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selbständige Bundesoberbehörde für Aufgaben der Eisenbahnverkehrsverwaltung wird das Eisenbahn-Bundesamt errichtet, das dem Bundesministerium für Verkehr und digitale Infrastruktur untersteht.</w:t>
      </w:r>
    </w:p>
    <w:p>
      <w:r>
        <w:t xml:space="preserve">(2) Das Bundesministerium für Verkehr und digitale Infrastruktur bestimmt den Sitz des Eisenbahn-Bundesamtes und den Sitz von Außenstellen im Benehmen mit den Ländern.</w:t>
      </w:r>
    </w:p>
    <w:p>
      <w:r>
        <w:t xml:space="preserve">(3) Die Vermögensgegenstände, die zur Erfüllung der Aufgaben des Eisenbahn-Bundesamtes aus den Beständen des Bundeseisenbahnvermögens entnommen werden, werden ohne Wertausgleich übertragen. Einzelheiten legt das Bundesministerium für Verkehr und digitale Infrastruktur im Einvernehmen mit dem Bundesministerium der Finanzen fest.</w:t>
      </w:r>
    </w:p>
    <w:p>
      <w:r>
        <w:t xml:space="preserve">(4) Beamte und Arbeitnehmer der Deutschen Bundesbahn und der Deutschen Reichsbahn, die zum Zeitpunkt der Errichtung des Eisenbahn-Bundesamtes Aufgaben wahrnehmen, die nach § 3 dem Eisenbahn-Bundesamt obliegen, sind von diesem Zeitpunkt an Beamte und Arbeitnehmer bei dem Eisenbahn-Bundesamt. Absatz 6 Satz 2 gilt entsprechend.</w:t>
      </w:r>
    </w:p>
    <w:p>
      <w:r>
        <w:t xml:space="preserve">(5) Arbeitnehmer des Bundeseisenbahnvermögens können aus dienstlichen Gründen zur Wahrnehmung einer mindestens gleichbewerteten Tätigkeit zum Eisenbahn-Bundesamt versetzt oder abgeordnet werden. Vor einer Versetzung oder einer voraussichtlich länger als drei Monate währenden Abordnung ist der Arbeitnehmer zu hören.</w:t>
      </w:r>
    </w:p>
    <w:p>
      <w:r>
        <w:t xml:space="preserve">(6) Auf die Arbeitsverhältnisse der Angestellten und Arbeiter des Eisenbahn-Bundesamtes sind vom Zeitpunkt des Inkrafttretens dieses Gesetzes an der Bundes-Angestelltentarifvertrag - Bund, Länder, Gemeinden - (BAT) oder der Mantel-Tarifvertrag für Arbeitnehmer des Bundes (MTB II) anzuwenden. Verringern sich für Angestellte und Arbeiter des Bundeseisenbahnvermögens durch eine Versetzung zum Eisenbahn-Bundesamt die nach den bisher maßgeblichen tariflichen Vorschriften zustehenden monatlichen Bezüge (Grundvergütung, Monatstabellenlohn, Ortszuschlag, Sozialzuschlag), wird der Unterschiedsbetrag als persönliche Zulage weitergezahlt.</w:t>
      </w:r>
    </w:p>
    <w:p>
      <w:r>
        <w:t xml:space="preserve">(7) Die persönliche Zulage gemäß Absatz 6 vermindert sich um Vergütungs- und Lohnerhöhungen auf Grund von Höhergruppierung sowie Aufstieg in den Lebensalters- und Lohnstufen. Bei jeder allgemeinen Vergütungs- und Lohnerhöhung vermindert sich die persönliche Zulage um die Hälfte des Erhöhungsbetrages. Für Angestellte und Arbeiter, die nach Ablauf von fünf Jahren nach Errichtung des Eisenbahn-Bundesamtes zu diesem versetzt werden, gelten Absatz 6 Satz 2 und die Regelungen dieses Absatzes nicht.</w:t>
      </w:r>
    </w:p>
    <w:p>
      <w:r>
        <w:t xml:space="preserve">(8) Das Eisenbahn-Bundesamt wird von einem Präsidenten geleitet.</w:t>
      </w:r>
    </w:p>
    <w:p>
      <w:r>
        <w:rPr>
          <w:color w:val="555555"/>
          <w:sz w:val="17"/>
        </w:rPr>
        <w:t xml:space="preserve">Zitiervorschlag: § 2 BEVVG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https://recht.nulegal.eu/gesetze/BEVVG/2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