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BEVVG — Übergangsregelungen</w:t>
      </w:r>
    </w:p>
    <w:p>
      <w:r>
        <w:rPr>
          <w:color w:val="555555"/>
          <w:sz w:val="18"/>
        </w:rPr>
        <w:t xml:space="preserve">Bundeseisenbahnverkehrsverwaltungsgesetz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4a Absatz 1 und 5 ist erst ab dem 1. März 2017 anzuwenden.</w:t>
      </w:r>
    </w:p>
    <w:p>
      <w:r>
        <w:t xml:space="preserve">(2) § 4a Absatz 2 und 3 ist erst ab dem 1. Januar 2017 anzuwenden.</w:t>
      </w:r>
    </w:p>
    <w:p>
      <w:r>
        <w:t xml:space="preserve">(3) Für vor dem 6. Dezember 2020 eingereichte Pläne wird das Anhörungsverfahren von den Ländern fortgeführt.</w:t>
      </w:r>
    </w:p>
    <w:p>
      <w:r>
        <w:rPr>
          <w:color w:val="555555"/>
          <w:sz w:val="17"/>
        </w:rPr>
        <w:t xml:space="preserve">Zitiervorschlag: § 10 BEVVG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https://recht.nulegal.eu/gesetze/BEVVG/10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