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BEVVG — Zuständige Behörden</w:t>
      </w:r>
    </w:p>
    <w:p>
      <w:r>
        <w:rPr>
          <w:color w:val="555555"/>
          <w:sz w:val="18"/>
        </w:rPr>
        <w:t xml:space="preserve">Bundeseisenbahnverkehrsverwaltungsgesetz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Aufgaben der Eisenbahnverkehrsverwaltung des Bundes werden, soweit dieses Gesetz nichts anderes bestimmt, vom Bundesministerium für Verkehr und digitale Infrastruktur wahrgenommen. Es kann seine Aufgaben nach Satz 1 ganz oder teilweise durch Rechtsverordnung, die nicht der Zustimmung des Bundesrates bedarf, auf das Eisenbahn-Bundesamt übertragen.</w:t>
      </w:r>
    </w:p>
    <w:p>
      <w:r>
        <w:t xml:space="preserve">(1a) Das Bundesministerium für Verkehr und digitale Infrastruktur wird ermächtigt, durch Rechtsverordnung mit Zustimmung des Bundesrates</w:t>
      </w:r>
    </w:p>
    <w:p>
      <w:pPr>
        <w:ind w:left="420"/>
      </w:pPr>
      <w:r>
        <w:t xml:space="preserve">1. anderen öffentlichen oder privaten Stellen die Eisenbahnaufsicht und die Erteilung von Genehmigungen, Zulassungen oder Anerkennungen, einschließlich ihrer Aussetzung, Einschränkung oder Entziehung, ganz oder teilweise zu übertragen,</w:t>
      </w:r>
    </w:p>
    <w:p>
      <w:pPr>
        <w:ind w:left="420"/>
      </w:pPr>
      <w:r>
        <w:t xml:space="preserve">2. dem Eisenbahn-Bundesamt die Befugnis zu erteilen, privaten Stellen</w:t>
      </w:r>
    </w:p>
    <w:p>
      <w:pPr>
        <w:ind w:left="780"/>
      </w:pPr>
      <w:r>
        <w:t xml:space="preserve">a) die Erteilung von Genehmigungen, Zulassungen oder Anerkennungen, einschließlich ihrer Aussetzung, Einschränkung oder Entziehung,</w:t>
      </w:r>
    </w:p>
    <w:p>
      <w:pPr>
        <w:ind w:left="780"/>
      </w:pPr>
      <w:r>
        <w:t xml:space="preserve">b) die Registerführung</w:t>
      </w:r>
    </w:p>
    <w:p>
      <w:pPr>
        <w:ind w:left="420"/>
      </w:pPr>
      <w:r>
        <w:t xml:space="preserve">ganz oder teilweise zu übertragen oder die privaten Stellen daran zu beteiligen. Eine Übertragung oder Beteiligung nach Satz 1 ist nur zulässig, soweit die privaten Stellen über die zur Wahrnehmung der Aufgaben erforderliche Sachkunde, Zuverlässigkeit und Unabhängigkeit verfügen. In der Rechtsverordnung nach Satz 1 sind die näheren Voraussetzungen für die Übertragung oder Beteiligung sowie das Verfahren zu regeln. Die Stellen im Sinne des Satzes 1 unterliegen der Rechtsaufsicht durch das Eisenbahn-Bundesamt.</w:t>
      </w:r>
    </w:p>
    <w:p>
      <w:r>
        <w:t xml:space="preserve">(2) Die Aufgaben des Bundeseisenbahnvermögens auf Grund des Gesetzes zur Zusammenführung und Neugliederung der Bundeseisenbahnen vom 27. Dezember 1993 (BGBl. I S. 2378) bleiben unberührt.</w:t>
      </w:r>
    </w:p>
    <w:p>
      <w:r>
        <w:rPr>
          <w:color w:val="555555"/>
          <w:sz w:val="17"/>
        </w:rPr>
        <w:t xml:space="preserve">Zitiervorschlag: § 1 BEVVG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