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BEVBeihAnO</w:t>
      </w:r>
    </w:p>
    <w:p>
      <w:r>
        <w:rPr>
          <w:color w:val="555555"/>
          <w:sz w:val="18"/>
        </w:rPr>
        <w:t xml:space="preserve">Anordnung des Präsidenten des Bundeseisenbahnvermögens zur Übertragung von Zuständigkeiten in Angelegenheiten der Beihilfe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Nach</w:t>
      </w:r>
    </w:p>
    <w:p>
      <w:pPr>
        <w:ind w:left="420"/>
      </w:pPr>
      <w:r>
        <w:t xml:space="preserve">– § 108 Absatz 5 des Bundesbeamtengesetzes vom 5. Februar 2009 (BGBl. I S. 160),</w:t>
      </w:r>
    </w:p>
    <w:p>
      <w:pPr>
        <w:ind w:left="420"/>
      </w:pPr>
      <w:r>
        <w:t xml:space="preserve">– § 56 Absatz 2 der Bundesbeihilfeverordnung vom 13. Februar 2009 (BGBl. I S. 326)</w:t>
      </w:r>
    </w:p>
    <w:p>
      <w:r>
        <w:t xml:space="preserve">ordnet der Präsident des Bundeseisenbahnvermögens an:</w:t>
      </w:r>
    </w:p>
    <w:p>
      <w:r>
        <w:rPr>
          <w:color w:val="555555"/>
          <w:sz w:val="17"/>
        </w:rPr>
        <w:t xml:space="preserve">Zitiervorschlag: Eingangsformel BEVBeihAnO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https://recht.nulegal.eu/gesetze/BEVBeihAnO/eingangsformel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