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BEVBeihAnO — Prozessstandschaft bei Klageverfahren</w:t>
      </w:r>
    </w:p>
    <w:p>
      <w:r>
        <w:rPr>
          <w:color w:val="555555"/>
          <w:sz w:val="18"/>
        </w:rPr>
        <w:t xml:space="preserve">Anordnung des Präsidenten des Bundeseisenbahnvermögens zur Übertragung von Zuständigkeiten in Angelegenheiten der Beihilfe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Die Prozessstandschaft für das Bundeseisenbahnvermögen bei Klageverfahren in Angelegenheiten der Beihilfe wird der Krankenversorgung der Bundesbahnbeamten übertragen, soweit sie nach dieser Anordnung für die Entscheidung über Widersprüche zuständig ist.</w:t>
      </w:r>
    </w:p>
    <w:p>
      <w:r>
        <w:rPr>
          <w:color w:val="555555"/>
          <w:sz w:val="17"/>
        </w:rPr>
        <w:t xml:space="preserve">Zitiervorschlag: § 3 BEVBeihAnO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https://recht.nulegal.eu/gesetze/BEVBeihAnO/3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