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BEVBDGZustAnO — Vorbehaltsklausel</w:t>
      </w:r>
    </w:p>
    <w:p>
      <w:r>
        <w:rPr>
          <w:color w:val="555555"/>
          <w:sz w:val="18"/>
        </w:rPr>
        <w:t xml:space="preserve">Anordnung des Präsidenten des Bundeseisenbahnvermögens über die Übertragung von Zuständigkeiten nach dem Bundesdisziplinargesetz im Geschäftsbereich des Bundeseisenbahnvermögens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Der Präsident des Bundeseisenbahnvermögens behält sich vor, Zuständigkeiten nach § 1 in besonderen Fällen selbst auszuüben.</w:t>
      </w:r>
    </w:p>
    <w:p>
      <w:r>
        <w:rPr>
          <w:color w:val="555555"/>
          <w:sz w:val="17"/>
        </w:rPr>
        <w:t xml:space="preserve">Zitiervorschlag: § 2 BEVBDGZustAnO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https://recht.nulegal.eu/gesetze/BEVBDGZustAnO/2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