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BEV (Brandenburg) — Entscheidung über die Zulassung</w:t>
      </w:r>
    </w:p>
    <w:p>
      <w:r>
        <w:rPr>
          <w:color w:val="555555"/>
          <w:sz w:val="18"/>
        </w:rPr>
        <w:t xml:space="preserve">Befähigungserwerbsverordnung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Entscheidung über die Zulassung trifft das Landesinstitut Brandenburg für Schule und Lehrkräftebildung. Sie ist auf dem Dienstweg der Bewerberin oder dem Bewerber schriftlich mitzuteilen und umfasst</w:t>
      </w:r>
    </w:p>
    <w:p>
      <w:r>
        <w:t xml:space="preserve">das angestrebte Lehramt oder Lehreramt und das Fach,</w:t>
      </w:r>
    </w:p>
    <w:p>
      <w:r>
        <w:t xml:space="preserve">die für die Durchführung der Prüfung beauftragte Stelle sowie</w:t>
      </w:r>
    </w:p>
    <w:p>
      <w:r>
        <w:t xml:space="preserve">den Tag der Prüfung und die Uhrzeit des Prüfungsbeginns (Prüfungstermin).</w:t>
      </w:r>
    </w:p>
    <w:p>
      <w:r>
        <w:rPr>
          <w:color w:val="555555"/>
          <w:sz w:val="17"/>
        </w:rPr>
        <w:t xml:space="preserve">Zitiervorschlag: § 22 BEV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https://recht.nulegal.eu/gesetze/BEV/22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