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BEV (Brandenburg) — Allgemeine Voraussetzungen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nachträgliche Erwerb einer Befähigung setzt voraus, dass</w:t>
      </w:r>
    </w:p>
    <w:p>
      <w:r>
        <w:t xml:space="preserve">eine Lehramtsbefähigung, die Zugangsvoraussetzungen für den Vorbereitungsdienst für ein Lehramt oder eine Lehrbefähigung nach dem Recht der Deutschen Demokratischen Republik und</w:t>
      </w:r>
    </w:p>
    <w:p>
      <w:r>
        <w:t xml:space="preserve">die für die angestrebte Befähigung erforderlichen Studien- und Prüfungsleistungen in mindestens einem Fach, einer Fachrichtung oder einem Lernbereich (Fach)</w:t>
      </w:r>
    </w:p>
    <w:p>
      <w:r>
        <w:t xml:space="preserve">nach Maßgabe der Abschnitte 2 bis 4 nachgewiesen werden.</w:t>
      </w:r>
    </w:p>
    <w:p>
      <w:r>
        <w:t xml:space="preserve">(2) An die Stelle der nachzuweisenden Studien- und Prüfungsleistungen in einem Fach können Studien- und Prüfungsleistungen im Studienbereich Inklusionspädagogik treten.</w:t>
      </w:r>
    </w:p>
    <w:p>
      <w:r>
        <w:t xml:space="preserve">(3) Die erforderlichen Studien- und Prüfungsleistungen gemäß Absatz 1 Nummer 2 werden mit dem erfolgreichen Abschluss eines lehramtsbezogenen Zertifikatsstudiums, das die strukturellen und inhaltlichen Anforderungen gemäß den §§ 4 und 5 erfüllt, nachgewiesen.</w:t>
      </w:r>
    </w:p>
    <w:p>
      <w:r>
        <w:t xml:space="preserve">(4) An die Stelle der für den Erwerb der Befähigung für ein Lehreramt abzulegenden Ergänzungsprüfung tritt die Feststellung gemäß § 3 Absatz 1.</w:t>
      </w:r>
    </w:p>
    <w:p>
      <w:r>
        <w:rPr>
          <w:color w:val="555555"/>
          <w:sz w:val="17"/>
        </w:rPr>
        <w:t xml:space="preserve">Zitiervorschlag: § 2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