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BEV (Brandenburg) — Lehramt für Förderpädagogik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Befähigung für das Lehramt für Förderpädagogik kann erwerben, wer die Befähigung für das</w:t>
      </w:r>
    </w:p>
    <w:p>
      <w:r>
        <w:t xml:space="preserve">Lehramt für die Primarstufe,</w:t>
      </w:r>
    </w:p>
    <w:p>
      <w:r>
        <w:t xml:space="preserve">Lehramt für die Bildungsgänge der Sekundarstufe I und der Primarstufe an allgemeinbildenden Schulen,</w:t>
      </w:r>
    </w:p>
    <w:p>
      <w:r>
        <w:t xml:space="preserve">Lehramt für die Sekundarstufen I und II (allgemeinbildende Fächer) oder</w:t>
      </w:r>
    </w:p>
    <w:p>
      <w:r>
        <w:t xml:space="preserve">Lehramt für die Sekundarstufe II (berufliche Fächer)</w:t>
      </w:r>
    </w:p>
    <w:p>
      <w:r>
        <w:t xml:space="preserve">sowie Studien- und Prüfungsleistungen in</w:t>
      </w:r>
    </w:p>
    <w:p>
      <w:r>
        <w:t xml:space="preserve">einem Fach gemäß § 16 Absatz 1 der Lehramtsstudienverordnung im Umfang von mindestens 45 Leistungspunkten,</w:t>
      </w:r>
    </w:p>
    <w:p>
      <w:r>
        <w:t xml:space="preserve">zwei sonderpädagogischen Fachrichtungen gemäß § 16 Absatz 2 Nummer 2 der Lehramtsstudienverordnung im Umfang von mindestens jeweils 30 Leistungspunkten und</w:t>
      </w:r>
    </w:p>
    <w:p>
      <w:r>
        <w:t xml:space="preserve">der allgemeinen Förder- und Inklusionspädagogik im Umfang von mindestens 20 Leistungspunkten</w:t>
      </w:r>
    </w:p>
    <w:p>
      <w:r>
        <w:t xml:space="preserve">nachweist.</w:t>
      </w:r>
    </w:p>
    <w:p>
      <w:r>
        <w:rPr>
          <w:color w:val="555555"/>
          <w:sz w:val="17"/>
        </w:rPr>
        <w:t xml:space="preserve">Zitiervorschlag: § 16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