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BEV (Brandenburg) — Berufliche Fächer</w:t>
      </w:r>
    </w:p>
    <w:p>
      <w:r>
        <w:rPr>
          <w:color w:val="555555"/>
          <w:sz w:val="18"/>
        </w:rPr>
        <w:t xml:space="preserve">Befähigungserwerbsverordnung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den Erwerb der Lehrbefähigung für ein oder ein weiteres berufliches Fach der Sekundarstufe II sind die Fächer Agrarwirtschaft, Bautechnik, Biotechnik, Druck- und Medientechnik, Elektrotechnik, Ernährung und Hauswirtschaft, Fahrzeugtechnik, Farbtechnik/Raumgestaltung/Oberflächentechnik, Gesundheit und Körperpflege, Holztechnik, Informations- und Kommunikationstechnik, Labortechnik/Prozesstechnik, Mediendesign und Designtechnik, Metalltechnik, Pflege, Sozialpädagogik, Textil- und Bekleidungstechnik, Vermessungstechnik sowie Wirtschaft und Verwaltung zugelassen und Studien- und Prüfungsleistungen im Umfang von jeweils mindestens 45 Leistungspunkten nachzuweisen.</w:t>
      </w:r>
    </w:p>
    <w:p>
      <w:r>
        <w:rPr>
          <w:color w:val="555555"/>
          <w:sz w:val="17"/>
        </w:rPr>
        <w:t xml:space="preserve">Zitiervorschlag: § 10 BEV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https://recht.nulegal.eu/gesetze/BEV/10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