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BEV (Brandenburg) — Geltungsbereich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den nachträglichen Erwerb</w:t>
      </w:r>
    </w:p>
    <w:p>
      <w:r>
        <w:t xml:space="preserve">der Lehrbefähigung für ein weiteres Fach oder einen weiteren Lernbereich oder einer weiteren Fachrichtung oder weiterer Fächer,</w:t>
      </w:r>
    </w:p>
    <w:p>
      <w:r>
        <w:t xml:space="preserve">der Befähigung für ein oder ein weiteres Lehramt gemäß § 2 Absatz 1 des Brandenburgischen Lehrerbildungsgesetzes (Lehramtsbefähigung) oder</w:t>
      </w:r>
    </w:p>
    <w:p>
      <w:r>
        <w:t xml:space="preserve">der Befähigung für ein Amt der Lehrerin oder des Lehrers der Besoldungsgruppen A 13 kw der Anlage 1 des Brandenburgischen Besoldungsgesetzes (Lehreramt), für das eine Ergänzungsprüfung vorgesehen ist.</w:t>
      </w:r>
    </w:p>
    <w:p>
      <w:r>
        <w:t xml:space="preserve">Sie bestimmt das Nähere zu den Voraussetzungen, zum Umfang und der Art sowie zur Anerkennung der für den Befähigungserwerb nachzuweisenden Studien- und Prüfungsleistungen sowie zur Feststellung der Befähigung.</w:t>
      </w:r>
    </w:p>
    <w:p>
      <w:r>
        <w:t xml:space="preserve">(2) Soweit in dieser Verordnung nichts Anderes geregelt ist, werden alle Anerkennungen, Zuordnungen, Zulassungen, Genehmigungen und Staatsprüfungen durch das Landesinstitut Brandenburg für Schule und Lehrkräftebildung wahrgenommen.</w:t>
      </w:r>
    </w:p>
    <w:p>
      <w:r>
        <w:rPr>
          <w:color w:val="555555"/>
          <w:sz w:val="17"/>
        </w:rPr>
        <w:t xml:space="preserve">Zitiervorschlag: § 1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