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BEStrafAktEV — Inkrafttreten</w:t>
      </w:r>
    </w:p>
    <w:p>
      <w:r>
        <w:rPr>
          <w:color w:val="555555"/>
          <w:sz w:val="18"/>
        </w:rPr>
        <w:t xml:space="preserve">Bundes-E-Strafakten-Einführungsverordnung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BEStrafAktEV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https://recht.nulegal.eu/gesetze/BEStrafAktEV/3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