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BEStrafAktEV — Anwendungsbereich</w:t>
      </w:r>
    </w:p>
    <w:p>
      <w:r>
        <w:rPr>
          <w:color w:val="555555"/>
          <w:sz w:val="18"/>
        </w:rPr>
        <w:t xml:space="preserve">Bundes-E-Strafakten-Einführungsverordnung</w:t>
      </w:r>
    </w:p>
    <w:p>
      <w:r>
        <w:rPr>
          <w:color w:val="555555"/>
          <w:sz w:val="18"/>
        </w:rPr>
        <w:t xml:space="preserve">Stand: 14.11.2020 (konsolidierte Textfassung, kein amtliches Inkrafttretensdatum)</w:t>
      </w:r>
    </w:p>
    <w:p>
      <w:r>
        <w:t xml:space="preserve">Diese Verordnung gilt für die Führung elektronischer Strafverfahrensakten bei</w:t>
      </w:r>
    </w:p>
    <w:p>
      <w:pPr>
        <w:ind w:left="420"/>
      </w:pPr>
      <w:r>
        <w:t xml:space="preserve">1. dem Generalbundesanwalt beim Bundesgerichtshof,</w:t>
      </w:r>
    </w:p>
    <w:p>
      <w:pPr>
        <w:ind w:left="420"/>
      </w:pPr>
      <w:r>
        <w:t xml:space="preserve">2. den Finanzbehörden des Bundes in Ermittlungsverfahren nach § 386 Absatz 2 der Abgabenordnung und § 14a des Schwarzarbeitsbekämpfungsgesetzes und</w:t>
      </w:r>
    </w:p>
    <w:p>
      <w:pPr>
        <w:ind w:left="420"/>
      </w:pPr>
      <w:r>
        <w:t xml:space="preserve">3. dem Bundesgerichtshof.</w:t>
      </w:r>
    </w:p>
    <w:p>
      <w:r>
        <w:rPr>
          <w:color w:val="555555"/>
          <w:sz w:val="17"/>
        </w:rPr>
        <w:t xml:space="preserve">Zitiervorschlag: § 1 BEStrafAktEV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https://recht.nulegal.eu/gesetze/BEStrafAktEV/1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