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BEPSMLIAnwG — Auslegung und Anwendung des BEPS-MLI; Verständigungsverfahren</w:t>
      </w:r>
    </w:p>
    <w:p>
      <w:r>
        <w:rPr>
          <w:color w:val="555555"/>
          <w:sz w:val="18"/>
        </w:rPr>
        <w:t xml:space="preserve">BEPS-MLI-Anwendungsgesetz</w:t>
      </w:r>
    </w:p>
    <w:p>
      <w:r>
        <w:rPr>
          <w:color w:val="555555"/>
          <w:sz w:val="18"/>
        </w:rPr>
        <w:t xml:space="preserve">Stand: 22.06.2024 (konsolidierte Textfassung, kein amtliches Inkrafttretensdatum)</w:t>
      </w:r>
    </w:p>
    <w:p>
      <w:r>
        <w:t xml:space="preserve">Bestimmungen des BEPS-MLI sind nach der Bedeutung auszulegen und anzuwenden, die ihnen nach dem BEPS-MLI sowie, sofern der Zusammenhang des BEPS-MLI nichts anderes erfordert, nach den Bestimmungen des jeweils in Bezug genommenen Steuerabkommens sowie der Konsultationsvereinbarungen hierzu, zukommt.</w:t>
      </w:r>
    </w:p>
    <w:p>
      <w:r>
        <w:rPr>
          <w:color w:val="555555"/>
          <w:sz w:val="17"/>
        </w:rPr>
        <w:t xml:space="preserve">Zitiervorschlag: § 2 BEPSMLIAnwG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https://recht.nulegal.eu/gesetze/BEPSMLIAnwG/2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