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BEMFV — Anzeige ortsfester Amateurfunkanlagen</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Der Betreiber einer ortsfesten Amateurfunkanlage mit einer äquivalenten isotropen Strahlungsleistung (EIRP) von 10 Watt oder mehr hat diese vor Inbetriebnahme der Bundesnetzagentur für Elektrizität, Gas, Telekommunikation, Post und Eisenbahnen anzuzeigen. Hierbei ist die im Amtsblatt der Bundesnetzagentur für Elektrizität, Gas, Telekommunikation, Post und Eisenbahnen veröffentlichte Anleitung zur Durchführung der Anzeige anzuwenden.</w:t>
      </w:r>
    </w:p>
    <w:p>
      <w:r>
        <w:t xml:space="preserve">(2) Der Betreiber hat den zur Einhaltung der Grenzwerte erforderlichen Sicherheitsabstand rechnerisch oder messtechnisch auf der Grundlage der Norm DIN EN 50413 (Ausgabe August 2009) zu ermitteln und in nachvollziehbarer Form zu dokumentieren.</w:t>
      </w:r>
    </w:p>
    <w:p>
      <w:r>
        <w:t xml:space="preserve">(3) Der Anzeige ist eine nachvollziehbare zeichnerische Darstellung des standortbezogenen Sicherheitsabstands und des vom Betreiber kontrollierbaren Bereichs beizufügen. Der Betreiber hat ferner ab dem Zeitpunkt der Inbetriebnahme die nachfolgenden Unterlagen zur Verfügung zu halten:</w:t>
      </w:r>
    </w:p>
    <w:p>
      <w:pPr>
        <w:ind w:left="420"/>
      </w:pPr>
      <w:r>
        <w:t xml:space="preserve">1. Dokumentation über die Einhaltung der Anforderungen des § 8 Abs. 2 und 3,</w:t>
      </w:r>
    </w:p>
    <w:p>
      <w:pPr>
        <w:ind w:left="420"/>
      </w:pPr>
      <w:r>
        <w:t xml:space="preserve">2. Antennendiagramme, sofern es sich um handelsübliche Antennen handelt,</w:t>
      </w:r>
    </w:p>
    <w:p>
      <w:pPr>
        <w:ind w:left="420"/>
      </w:pPr>
      <w:r>
        <w:t xml:space="preserve">3. einen Lageplan auf der Grundlage des Bebauungs-, Liegenschafts- oder Flächennutzungsplans, in dem die angrenzenden Grundstücke bzw. Gebäude und deren Nutzung zum Betriebsort der angezeigten Funkanlage sowie die Bereiche, in denen die Grenzwerte nach § 3 einzuhalten sind, wiederzugeben sind,</w:t>
      </w:r>
    </w:p>
    <w:p>
      <w:pPr>
        <w:ind w:left="420"/>
      </w:pPr>
      <w:r>
        <w:t xml:space="preserve">4. bei Montage der Sendeantenne auf einem Bauwerk eine Bauzeichnung oder Skizze mit Bemaßung (Seitenansicht und Draufsicht) und</w:t>
      </w:r>
    </w:p>
    <w:p>
      <w:pPr>
        <w:ind w:left="420"/>
      </w:pPr>
      <w:r>
        <w:t xml:space="preserve">5. Angabe der Konfiguration der installierten ortsfesten Amateurfunkanlage, einschließlich ihrer Sendeleistung und aller anderen technischen Parameter, die zur Beurteilung der von der Anlage ausgehenden maximalen elektromagnetischen Felder erforderlich sind.</w:t>
      </w:r>
    </w:p>
    <w:p>
      <w:r>
        <w:t xml:space="preserve">(4) Der Betreiber einer Amateurfunkanlage ist auch nach Abgabe seiner Anzeige verpflichtet, sich zu vergewissern, ob seine gemachten Angaben weiterhin zutreffend sind. In den Fällen, in denen die Anzeige nicht mehr den tatsächlichen Gegebenheiten entspricht, ist vom Betreiber das Anzeigeverfahren erneut durchzuführen.</w:t>
      </w:r>
    </w:p>
    <w:p>
      <w:r>
        <w:t xml:space="preserve">(5) Eine anzeigepflichtige Amateurfunkstelle kann in das Informationsportal nach § 5 Absatz 5 aufgenommen werden, wenn der Betreiber der Amateurfunkstelle dieser Aufnahme zustimmt und die Anzeige in der Form erfolgt ist, die in der Anleitung zur Durchführung der Anzeige beschrieben wird. Beantragt der Betreiber der Amateurfunkstelle die Herausnahme der anzeigepflichtigen Amateurfunkstelle aus dem Informationsportal, so ist die nach Satz 1 im Informationsportal erfolgte Veröffentlichung unverzüglich, spätestens aber zwei Wochen nach Eingang dieses Antrags, zu löschen.</w:t>
      </w:r>
    </w:p>
    <w:p>
      <w:r>
        <w:rPr>
          <w:color w:val="555555"/>
          <w:sz w:val="17"/>
        </w:rPr>
        <w:t xml:space="preserve">Zitiervorschlag: § 9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