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BEMFV — Widerruf und Erlöschen einer Standortbescheinigung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Standortbescheinigung kann widerrufen werden, wenn die Grenzwerte des § 3 geändert wurden.</w:t>
      </w:r>
    </w:p>
    <w:p>
      <w:r>
        <w:t xml:space="preserve">(2) Eine Standortbescheinigung erlischt, wenn die Voraussetzungen für ihre Erteilung hinsichtlich der technischen Parameter der Funkanlage oder infolge einer Veränderung im Umfeld der Funkanlage nicht mehr gegeben sind.</w:t>
      </w:r>
    </w:p>
    <w:p>
      <w:r>
        <w:t xml:space="preserve">(3) Eine vorläufige Standortbescheinigung erlischt mit Erteilung einer Standortbescheinigung nach § 5 Abs. 2 oder 3.</w:t>
      </w:r>
    </w:p>
    <w:p>
      <w:r>
        <w:rPr>
          <w:color w:val="555555"/>
          <w:sz w:val="17"/>
        </w:rPr>
        <w:t xml:space="preserve">Zitiervorschlag: § 7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