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BEMFV — Grenzwerte</w:t>
      </w:r>
    </w:p>
    <w:p>
      <w:r>
        <w:rPr>
          <w:color w:val="555555"/>
          <w:sz w:val="18"/>
        </w:rPr>
        <w:t xml:space="preserve">Verordnung über das Nachweisverfahren zur Begrenzung elektromagnetischer Felder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Begrenzung der elektromagnetischen Felder (EMF) von ortsfesten Funkanlagen sind für den Frequenzbereich 9 Kilohertz bis 300 Gigahertz die folgenden Werte als Grenzwerte einzuhalten:</w:t>
      </w:r>
    </w:p>
    <w:p>
      <w:pPr>
        <w:ind w:left="420"/>
      </w:pPr>
      <w:r>
        <w:t xml:space="preserve">1. die in der geltenden Fassung der Verordnung über elektromagnetische Felder - 26. BImSchV - festgesetzten Grenzwerte und</w:t>
      </w:r>
    </w:p>
    <w:p>
      <w:pPr>
        <w:ind w:left="420"/>
      </w:pPr>
      <w:r>
        <w:t xml:space="preserve">2. für den Frequenzbereich 9 Kilohertz bis 50 Megahertz zusätzlich die zulässigen Werte für aktive Körperhilfen nach DIN EN 50527-1 (Ausgabe Januar 2011) und DIN EN 50527-2-1 (Ausgabe Mai 2012).</w:t>
      </w:r>
    </w:p>
    <w:p>
      <w:r>
        <w:t xml:space="preserve">Die Grenzwerte nach Satz 1 sind unter Berücksichtigung von Emissionen anderer ortsfester Funkanlagen mindestens an den Orten einzuhalten, an denen auch die Grenzwerte der Verordnung über elektromagnetische Felder - 26. BImSchV - einzuhalten sind. DIN-Normen, auf die in dieser Verordnung verwiesen wird, sind bei der VDE-Verlag GmbH, Berlin und der Beuth-Verlag GmbH, Berlin und Köln erschienen und beim Deutschen Patent- und Markenamt in München archivmäßig gesichert niedergelegt.</w:t>
      </w:r>
    </w:p>
    <w:p>
      <w:r>
        <w:rPr>
          <w:color w:val="555555"/>
          <w:sz w:val="17"/>
        </w:rPr>
        <w:t xml:space="preserve">Zitiervorschlag: § 3 BEMFV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https://recht.nulegal.eu/gesetze/BEMFV/3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