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BEMFV — Begriffsbestimmungen</w:t>
      </w:r>
    </w:p>
    <w:p>
      <w:r>
        <w:rPr>
          <w:color w:val="555555"/>
          <w:sz w:val="18"/>
        </w:rPr>
        <w:t xml:space="preserve">Verordnung über das Nachweisverfahren zur Begrenzung elektromagnetischer Felder</w:t>
      </w:r>
    </w:p>
    <w:p>
      <w:r>
        <w:rPr>
          <w:color w:val="555555"/>
          <w:sz w:val="18"/>
        </w:rPr>
        <w:t xml:space="preserve">Stand: 10.06.2019 (konsolidierte Textfassung, kein amtliches Inkrafttretensdatum)</w:t>
      </w:r>
    </w:p>
    <w:p>
      <w:r>
        <w:t xml:space="preserve">Im Sinne dieser Verordnung</w:t>
      </w:r>
    </w:p>
    <w:p>
      <w:pPr>
        <w:ind w:left="420"/>
      </w:pPr>
      <w:r>
        <w:t xml:space="preserve">1. ist eine ortsfeste Funkanlageeine Funkanlage im Sinne des § 2 Nr. 3 des Gesetzes über Funkanlagen und Telekommunikationsendeinrichtungen einschließlich Radaranlagen, die während ihres bestimmungsgemäßen Betriebes keine Ortsveränderung erfährt,</w:t>
      </w:r>
    </w:p>
    <w:p>
      <w:pPr>
        <w:ind w:left="420"/>
      </w:pPr>
      <w:r>
        <w:t xml:space="preserve">2. ist eine ortsfeste Amateurfunkanlageeine ortsfeste Funkanlage im Sinne der Nummer 1, die gemäß § 2 Nr. 3 des Amateurfunkgesetzes vom 23. Juni 1997 (BGBl. I S. 1494), das zuletzt durch Artikel 48 des Gesetzes vom 10. November 2001 (BGBl. I S. 2992) geändert worden ist, betrieben wird,</w:t>
      </w:r>
    </w:p>
    <w:p>
      <w:pPr>
        <w:ind w:left="420"/>
      </w:pPr>
      <w:r>
        <w:t xml:space="preserve">3. ist ein Standortein Installationsort, an dem eine ortsfeste Funkanlage errichtet wurde oder errichtet werden soll; zum Standort gehören alle Funkanlagen, die auf demselben Mast oder in unmittelbarer Nähe (die Sicherheitsabstände der einzelnen Antennen überschneiden sich) voneinander betrieben werden,</w:t>
      </w:r>
    </w:p>
    <w:p>
      <w:pPr>
        <w:ind w:left="420"/>
      </w:pPr>
      <w:r>
        <w:t xml:space="preserve">4. ist der standortbezogene Sicherheitsabstandder erforderliche Abstand zwischen der Bezugsantenne und dem Bereich, in dem die Grenzwerte nach § 3 Satz 1 unter Einbeziehung der relevanten Feldstärken umliegender ortsfester Funkanlagen eingehalten werden,</w:t>
      </w:r>
    </w:p>
    <w:p>
      <w:pPr>
        <w:ind w:left="420"/>
      </w:pPr>
      <w:r>
        <w:t xml:space="preserve">5. ist die Bezugsantennedie Sendeantenne mit der niedrigsten Montagehöhe über Grund, die einen systembezogenen Sicherheitsabstand erfordert oder aufgrund ihrer Charakteristik bei der Berechnung des standortbezogenen Sicherheitsabstands berücksichtigt werden muss,</w:t>
      </w:r>
    </w:p>
    <w:p>
      <w:pPr>
        <w:ind w:left="420"/>
      </w:pPr>
      <w:r>
        <w:t xml:space="preserve">6. ist der systembezogene Sicherheitsabstandder Abstand zwischen einer einzelnen ortsfesten Antenne und dem Bereich, in dem die Grenzwerte nach § 3 Satz 1 eingehalten werden,</w:t>
      </w:r>
    </w:p>
    <w:p>
      <w:pPr>
        <w:ind w:left="420"/>
      </w:pPr>
      <w:r>
        <w:t xml:space="preserve">7. ist der kontrollierbare Bereichder Bereich, in dem der Betreiber über den Zutritt oder Aufenthalt von Personen bestimmen kann oder in dem aufgrund der tatsächlichen Verhältnisse der Zutritt von Personen ausgeschlossen ist,</w:t>
      </w:r>
    </w:p>
    <w:p>
      <w:pPr>
        <w:ind w:left="420"/>
      </w:pPr>
      <w:r>
        <w:t xml:space="preserve">8. ist der Betreiberdiejenige natürliche oder juristische Person, die die rechtliche und tatsächliche Kontrolle über die Gesamtheit der Funktionen einer Funkanlage hat.</w:t>
      </w:r>
    </w:p>
    <w:p>
      <w:r>
        <w:rPr>
          <w:color w:val="555555"/>
          <w:sz w:val="17"/>
        </w:rPr>
        <w:t xml:space="preserve">Zitiervorschlag: § 2 BEMFV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https://recht.nulegal.eu/gesetze/BEMFV/2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