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BEMFV — Änderung der Funkanlage</w:t>
      </w:r>
    </w:p>
    <w:p>
      <w:r>
        <w:rPr>
          <w:color w:val="555555"/>
          <w:sz w:val="18"/>
        </w:rPr>
        <w:t xml:space="preserve">Verordnung über das Nachweisverfahren zur Begrenzung elektromagnetischer Felder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einer ortsfesten Amateurfunkanlage, die den Anforderungen des § 8 Abs. 2 oder 3 unterliegt, hat eine erneute Anzeige nach § 9 vorzunehmen, wenn die Funkanlage technische Parameter aufweist, so dass die Voraussetzungen, unter denen die Anzeige vorgenommen wurde, nicht mehr gegeben sind.</w:t>
      </w:r>
    </w:p>
    <w:p>
      <w:r>
        <w:t xml:space="preserve">(2) Der Betreiber einer ortsfesten Funkanlage, die den Regelungen des § 4 unterfällt, hat der Bundesnetzagentur für Elektrizität, Gas, Telekommunikation, Post und Eisenbahnen Änderungen der Funkanlage hinsichtlich der gemeldeten Daten unverzüglich anzuzeigen.</w:t>
      </w:r>
    </w:p>
    <w:p>
      <w:r>
        <w:rPr>
          <w:color w:val="555555"/>
          <w:sz w:val="17"/>
        </w:rPr>
        <w:t xml:space="preserve">Zitiervorschlag: § 12 BEMFV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https://recht.nulegal.eu/gesetze/BEMFV/12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