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BEMFV — Inbetriebnahme und Außerbetriebnahme einer Funkanlage</w:t>
      </w:r>
    </w:p>
    <w:p>
      <w:r>
        <w:rPr>
          <w:color w:val="555555"/>
          <w:sz w:val="18"/>
        </w:rPr>
        <w:t xml:space="preserve">Verordnung über das Nachweisverfahren zur Begrenzung elektromagnetischer Felder</w:t>
      </w:r>
    </w:p>
    <w:p>
      <w:r>
        <w:rPr>
          <w:color w:val="555555"/>
          <w:sz w:val="18"/>
        </w:rPr>
        <w:t xml:space="preserve">Stand: 10.06.2019 (konsolidierte Textfassung, kein amtliches Inkrafttretensdatum)</w:t>
      </w:r>
    </w:p>
    <w:p>
      <w:r>
        <w:t xml:space="preserve">(1) Die Inbetriebnahme und wesentliche Änderung einer ortsfesten Funkanlage, die den Regelungen des § 4 unterliegt, ist der Bundesnetzagentur für Elektrizität, Gas, Telekommunikation, Post und Eisenbahnen mindestens zwei Wochen vor der Inbetriebnahme anzuzeigen. Die Außerbetriebnahme einer ortsfesten Funkanlage, die den Regelungen des § 4 unterliegt, ist der Bundesnetzagentur für Elektrizität, Gas, Telekommunikation, Post und Eisenbahnen unverzüglich anzuzeigen.</w:t>
      </w:r>
    </w:p>
    <w:p>
      <w:r>
        <w:t xml:space="preserve">(2) Der Zeitpunkt der Inbetriebnahme und der Außerbetriebnahme einer ortsfesten Funkanlage (Basisstation) in öffentlichen Telekommunikationsnetzen, die eine äquivalente isotrope Strahlungsleistung von weniger als 10 Watt (EIRP) aufweist, ist der Bundesnetzagentur für Elektrizität, Gas, Telekommunikation, Post und Eisenbahnen innerhalb von vier Wochen nach der In- oder Außerbetriebnahme anzuzeigen. Satz 1 gilt nicht für Funkanlagen, die eine äquivalente isotrope Strahlungsleistung (EIRP) von 100 Milliwatt oder weniger aufweisen.</w:t>
      </w:r>
    </w:p>
    <w:p>
      <w:r>
        <w:rPr>
          <w:color w:val="555555"/>
          <w:sz w:val="17"/>
        </w:rPr>
        <w:t xml:space="preserve">Zitiervorschlag: § 11 BEMFV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https://recht.nulegal.eu/gesetze/BEMFV/11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