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BEHV — Bereinigter Zusatzbedarf</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Für die Kalenderjahre 2021 bis 2026 bestimmt die zuständige Behörde jeweils den bereinigten Zusatzbedarf an Emissionszertifikaten. Zur Bestimmung des bereinigten Zusatzbedarfs für ein Kalenderjahr wird von der Menge an Brennstoffemissionen, für die Emissionszertifikate nach § 8 des Brennstoffemissionshandelsgesetzes für das betreffende Kalenderjahr abgegeben worden sind (Abgabemenge), Folgendes abgezogen:</w:t>
      </w:r>
    </w:p>
    <w:p>
      <w:pPr>
        <w:ind w:left="420"/>
      </w:pPr>
      <w:r>
        <w:t xml:space="preserve">1. die Menge an Brennstoffemissionen, für die ein Anspruch auf Kompensationszahlung nach § 11 Absatz 2 des Brennstoffemissionshandelsgesetzes für das entsprechende Kalenderjahr besteht, und</w:t>
      </w:r>
    </w:p>
    <w:p>
      <w:pPr>
        <w:ind w:left="420"/>
      </w:pPr>
      <w:r>
        <w:t xml:space="preserve">2. die für das entsprechende Kalenderjahr nach § 44 Absatz 2 festgelegte Emissionsmenge.</w:t>
      </w:r>
    </w:p>
    <w:p>
      <w:r>
        <w:t xml:space="preserve">(2) Die Abgabemenge entspricht der Summe aus</w:t>
      </w:r>
    </w:p>
    <w:p>
      <w:pPr>
        <w:ind w:left="420"/>
      </w:pPr>
      <w:r>
        <w:t xml:space="preserve">1. der Menge der für ein Kalenderjahr bis zum Ablauf des 30. September des Folgejahres abgegebenen Emissionszertifikate und</w:t>
      </w:r>
    </w:p>
    <w:p>
      <w:pPr>
        <w:ind w:left="420"/>
      </w:pPr>
      <w:r>
        <w:t xml:space="preserve">2. der Menge an Emissionszertifikaten, die der Gesamtmenge an Brennstoffemissionen entspricht, die gegenüber den jeweils ursprünglich für ein Kalenderjahr berichteten Brennstoffemissionen aufgrund nachträglicher Änderungen der Emissionsberichte für die Kalenderjahre ab dem Jahr 2021 bis zu dem jeweiligen Kalenderjahr im Sinne von Nummer 1 hinzukommen, soweit diese Änderungen der Emissionsberichte nicht bereits bei der Bestimmung der Abgabemenge eines vorangegangenen Kalenderjahres berücksichtigt worden sind.</w:t>
      </w:r>
    </w:p>
    <w:p>
      <w:r>
        <w:t xml:space="preserve">(3) Die zuständige Behörde veröffentlicht den bereinigten Zusatzbedarf auf ihrer Internetseite</w:t>
      </w:r>
    </w:p>
    <w:p>
      <w:pPr>
        <w:ind w:left="420"/>
      </w:pPr>
      <w:r>
        <w:t xml:space="preserve">1. für das Kalenderjahr 2021 bis zum Ablauf des 31. März 2024 und</w:t>
      </w:r>
    </w:p>
    <w:p>
      <w:pPr>
        <w:ind w:left="420"/>
      </w:pPr>
      <w:r>
        <w:t xml:space="preserve">2. für die Kalenderjahre 2022 bis 2026 bis zum Ablauf des 31. März des zweiten auf das betreffende Kalenderjahr folgenden Kalenderjahres.</w:t>
      </w:r>
    </w:p>
    <w:p>
      <w:r>
        <w:rPr>
          <w:color w:val="555555"/>
          <w:sz w:val="17"/>
        </w:rPr>
        <w:t xml:space="preserve">Zitiervorschlag: § 46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