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BEHV — Bestimmung der jährlichen Erhöhungsmenge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(1) Die zuständige Behörde hat die jährliche Erhöhungsmenge nach § 4 Absatz 3 des Brennstoffemissionshandelsgesetzes nach Maßgabe der Absätze 2 bis 5 zu bestimmen und nach Maßgabe des Absatzes 6 zu veröffentlichen.</w:t>
      </w:r>
    </w:p>
    <w:p>
      <w:r>
        <w:t xml:space="preserve">(2) Die jährliche Erhöhungsmenge für ein Kalenderjahr ergibt sich aus der Summe der Grunderhöhungsmenge für dieses Kalenderjahr und der Korrekturmenge für das jeweils vorletzte Kalenderjahr.</w:t>
      </w:r>
    </w:p>
    <w:p>
      <w:r>
        <w:t xml:space="preserve">(3) Die Grunderhöhungsmenge für ein Kalenderjahr ergibt sich aus einer Abschätzung der zuständigen Behörde über die Brennstoffemissionen aus dem Einsatz von Brennstoffen in Anlagen, die dem EU-Emissionshandel unterliegen, für die nicht zu erwarten ist, dass für dieses Kalenderjahr eine Anrechnung erfolgt</w:t>
      </w:r>
    </w:p>
    <w:p>
      <w:pPr>
        <w:ind w:left="420"/>
      </w:pPr>
      <w:r>
        <w:t xml:space="preserve">1. nach § 11 der Emissionsberichterstattungsverordnung 2022 vom 17. Dezember 2020 (BGBl. I S. 3016), die durch Artikel 2 der Verordnung vom 20. Februar 2023 (BGBl. 2023 I Nr. 47) geändert worden ist, in der jeweils geltenden Fassung oder</w:t>
      </w:r>
    </w:p>
    <w:p>
      <w:pPr>
        <w:ind w:left="420"/>
      </w:pPr>
      <w:r>
        <w:t xml:space="preserve">2. nach § 17 der Emissionsberichterstattungsverordnung 2030 vom 21. Dezember 2022 (BGBl. I S. 2868) in der jeweils geltenden Fassung.</w:t>
      </w:r>
    </w:p>
    <w:p>
      <w:r>
        <w:t xml:space="preserve">(4) Die Korrekturmenge für das jeweils vorletzte Kalenderjahr ist die Differenz zwischen</w:t>
      </w:r>
    </w:p>
    <w:p>
      <w:pPr>
        <w:ind w:left="420"/>
      </w:pPr>
      <w:r>
        <w:t xml:space="preserve">1. der Menge an Brennstoffemissionen, für die eine Kompensation nach § 11 Absatz 2 des Brennstoffemissionshandelsgesetzes für dieses Kalenderjahr gewährt worden ist, und</w:t>
      </w:r>
    </w:p>
    <w:p>
      <w:pPr>
        <w:ind w:left="420"/>
      </w:pPr>
      <w:r>
        <w:t xml:space="preserve">2. der Grunderhöhungsmenge, die für dieses Kalenderjahr festgelegt worden ist.</w:t>
      </w:r>
    </w:p>
    <w:p>
      <w:r>
        <w:t xml:space="preserve">(5) Für die Kalenderjahre 2021 und 2022 entspricht die jährliche Erhöhungsmenge nach Absatz 1 der Grunderhöhungsmenge nach Absatz 3.</w:t>
      </w:r>
    </w:p>
    <w:p>
      <w:r>
        <w:t xml:space="preserve">(6) Die zuständige Behörde veröffentlicht die jährliche Erhöhungsmenge für ein Kalenderjahr spätestens bis zum Ablauf des 31. Dezember des Vorjahres im Bundesanzeiger. Abweichend von Satz 1 veröffentlicht die zuständige Behörde die jährliche Erhöhungsmenge für die Kalenderjahre 2021, 2022 und 2023 spätestens bis zum 31. Dezember 2023.</w:t>
      </w:r>
    </w:p>
    <w:p>
      <w:r>
        <w:rPr>
          <w:color w:val="555555"/>
          <w:sz w:val="17"/>
        </w:rPr>
        <w:t xml:space="preserve">Zitiervorschlag: § 45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