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BEHV — Festlegung der jährlichen Emissionsmengen</w:t>
      </w:r>
    </w:p>
    <w:p>
      <w:r>
        <w:rPr>
          <w:color w:val="555555"/>
          <w:sz w:val="18"/>
        </w:rPr>
        <w:t xml:space="preserve">Brennstoffemissionshandelsverordnung</w:t>
      </w:r>
    </w:p>
    <w:p>
      <w:r>
        <w:rPr>
          <w:color w:val="555555"/>
          <w:sz w:val="18"/>
        </w:rPr>
        <w:t xml:space="preserve">Stand: 16.09.2025 (konsolidierte Textfassung, kein amtliches Inkrafttretensdatum)</w:t>
      </w:r>
    </w:p>
    <w:p>
      <w:r>
        <w:t xml:space="preserve">(1) Der prozentuale Anteil der nicht vom EU-Emissionshandel erfassten Brennstoffemissionen an den nicht vom EU-Emissionshandel erfassten gesamten Treibhausgasemissionen in Deutschland betrug im Durchschnitt der Jahre 2016 bis 2018</w:t>
      </w:r>
    </w:p>
    <w:p>
      <w:pPr>
        <w:ind w:left="420"/>
      </w:pPr>
      <w:r>
        <w:t xml:space="preserve">1. für die Brennstoffe nach Anlage 2 des Brennstoffemissionshandelsgesetzes 70,45 Prozent,</w:t>
      </w:r>
    </w:p>
    <w:p>
      <w:pPr>
        <w:ind w:left="420"/>
      </w:pPr>
      <w:r>
        <w:t xml:space="preserve">2. für die Brennstoffe nach Anlage 1 des Brennstoffemissionshandelsgesetzes abzüglich der Brennstoffe, für die gemäß § 7 Absatz 2 Satz 3 des Brennstoffemissionshandelsgesetzes die Berichtspflicht nach § 7 Absatz 1 des Brennstoffemissionshandelsgesetzes erstmals ab dem 1. Januar 2024 gilt, 71,49 Prozent,</w:t>
      </w:r>
    </w:p>
    <w:p>
      <w:pPr>
        <w:ind w:left="420"/>
      </w:pPr>
      <w:r>
        <w:t xml:space="preserve">3. für die Brennstoffe nach Anlage 1 des Brennstoffemissionshandelsgesetzes 74,49 Prozent.</w:t>
      </w:r>
    </w:p>
    <w:p>
      <w:r>
        <w:t xml:space="preserve">(2) Für die Jahre 2021 bis 2030 werden folgende jährliche Emissionsmengen nach § 4 Absatz 1 des Brennstoffemissionshandelsgesetzes festgelegt:</w:t>
      </w:r>
    </w:p>
    <w:p>
      <w:r>
        <w:rPr>
          <w:rFonts w:ascii="Courier New" w:hAnsi="Courier New"/>
          <w:sz w:val="17"/>
        </w:rPr>
        <w:t xml:space="preserve">Jahr    Jährliche Emissionsmenge (in Tonnen CO2)</w:t>
      </w:r>
    </w:p>
    <w:p>
      <w:r>
        <w:rPr>
          <w:rFonts w:ascii="Courier New" w:hAnsi="Courier New"/>
          <w:sz w:val="17"/>
        </w:rPr>
        <w:t xml:space="preserve">2021    301 037 178</w:t>
      </w:r>
    </w:p>
    <w:p>
      <w:r>
        <w:rPr>
          <w:rFonts w:ascii="Courier New" w:hAnsi="Courier New"/>
          <w:sz w:val="17"/>
        </w:rPr>
        <w:t xml:space="preserve">2022    291 116 621</w:t>
      </w:r>
    </w:p>
    <w:p>
      <w:r>
        <w:rPr>
          <w:rFonts w:ascii="Courier New" w:hAnsi="Courier New"/>
          <w:sz w:val="17"/>
        </w:rPr>
        <w:t xml:space="preserve">2023    280 149 525</w:t>
      </w:r>
    </w:p>
    <w:p>
      <w:r>
        <w:rPr>
          <w:rFonts w:ascii="Courier New" w:hAnsi="Courier New"/>
          <w:sz w:val="17"/>
        </w:rPr>
        <w:t xml:space="preserve">2024    275 998 949</w:t>
      </w:r>
    </w:p>
    <w:p>
      <w:r>
        <w:rPr>
          <w:rFonts w:ascii="Courier New" w:hAnsi="Courier New"/>
          <w:sz w:val="17"/>
        </w:rPr>
        <w:t xml:space="preserve">2025    260 092 203</w:t>
      </w:r>
    </w:p>
    <w:p>
      <w:r>
        <w:rPr>
          <w:rFonts w:ascii="Courier New" w:hAnsi="Courier New"/>
          <w:sz w:val="17"/>
        </w:rPr>
        <w:t xml:space="preserve">2026    254 774 703</w:t>
      </w:r>
    </w:p>
    <w:p>
      <w:r>
        <w:rPr>
          <w:rFonts w:ascii="Courier New" w:hAnsi="Courier New"/>
          <w:sz w:val="17"/>
        </w:rPr>
        <w:t xml:space="preserve">2027    236 220 646</w:t>
      </w:r>
    </w:p>
    <w:p>
      <w:r>
        <w:rPr>
          <w:rFonts w:ascii="Courier New" w:hAnsi="Courier New"/>
          <w:sz w:val="17"/>
        </w:rPr>
        <w:t xml:space="preserve">2028    217 666 514</w:t>
      </w:r>
    </w:p>
    <w:p>
      <w:r>
        <w:rPr>
          <w:rFonts w:ascii="Courier New" w:hAnsi="Courier New"/>
          <w:sz w:val="17"/>
        </w:rPr>
        <w:t xml:space="preserve">2029    199 112 382</w:t>
      </w:r>
    </w:p>
    <w:p>
      <w:r>
        <w:rPr>
          <w:rFonts w:ascii="Courier New" w:hAnsi="Courier New"/>
          <w:sz w:val="17"/>
        </w:rPr>
        <w:t xml:space="preserve">2030    180 558 250</w:t>
      </w:r>
    </w:p>
    <w:p>
      <w:r>
        <w:t xml:space="preserve">(3) Die Bundesregierung wird die in Absatz 2 festgelegten jährlichen Emissionsmengen</w:t>
      </w:r>
    </w:p>
    <w:p>
      <w:pPr>
        <w:ind w:left="420"/>
      </w:pPr>
      <w:r>
        <w:t xml:space="preserve">1. anhand der in Tonnen CO2-Äquivalent ausgedrückten jährlichen Emissionszuweisungen überprüfen, die die Europäische Kommission für jeden Mitgliedstaat für die Jahre 2021 bis 2030 in Durchführungsrechtsakten gemäß der EU-Klimaschutzverordnung zur Umsetzung des erhöhten Klimaziels der Europäischen Union für das Jahr 2030 festlegt, und</w:t>
      </w:r>
    </w:p>
    <w:p>
      <w:pPr>
        <w:ind w:left="420"/>
      </w:pPr>
      <w:r>
        <w:t xml:space="preserve">2. unverzüglich nach Inkrafttreten des jeweiligen Durchführungsrechtsaktes im Lichte der durch die Europäische Kommission festgelegten jährlichen Emissionszuweisungen anpassen.</w:t>
      </w:r>
    </w:p>
    <w:p>
      <w:r>
        <w:t xml:space="preserve">(4) Die in Absatz 2 für die Jahre 2027 bis 2030 festgelegten jährlichen Emissionsmengen werden unter Berücksichtigung von Anpassungen nach Absatz 3 anteilig reduziert um die ab dem Jahr 2027 nicht mehr vom Anwendungsbereich des Brennstoffemissionshandelsgesetzes erfassten Emissionsmengen. Die zuständige Behörde gibt die nach Satz 1 reduzierten jährlichen Emissionsmengen für die Jahre 2027 bis 2030 bis zum 30. Juni 2026 sowie eine etwaige Anpassung der jährlichen Emissionsmenge für das Jahr 2026 nach Absatz 3 unverzüglich im Bundesanzeiger bekannt. Im Fall der Verschiebung des Beginns des EU-Brennstoffemissionshandels nach Artikel 30k Absatz 2 der Richtlinie 2003/87/EG finden die Sätze 1 und 2 für die in Absatz 2 für das Jahr 2027 festgelegte jährliche Emissionsmenge keine Anwendung.</w:t>
      </w:r>
    </w:p>
    <w:p>
      <w:r>
        <w:rPr>
          <w:color w:val="555555"/>
          <w:sz w:val="17"/>
        </w:rPr>
        <w:t xml:space="preserve">Zitiervorschlag: § 44 BEHV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https://recht.nulegal.eu/gesetze/BEHV/44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