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BEHV — Voraussetzungen für die Beauftragung der beauftragten Stelle</w:t>
      </w:r>
    </w:p>
    <w:p>
      <w:r>
        <w:rPr>
          <w:color w:val="555555"/>
          <w:sz w:val="18"/>
        </w:rPr>
        <w:t xml:space="preserve">Brennstoffemissionshandelsverordnung</w:t>
      </w:r>
    </w:p>
    <w:p>
      <w:r>
        <w:rPr>
          <w:color w:val="555555"/>
          <w:sz w:val="18"/>
        </w:rPr>
        <w:t xml:space="preserve">Stand: 16.09.2025 (konsolidierte Textfassung, kein amtliches Inkrafttretensdatum)</w:t>
      </w:r>
    </w:p>
    <w:p>
      <w:r>
        <w:t xml:space="preserve">(1) Ein Bieter, der am Verfahren zur Ermittlung der beauftragten Stelle teilnimmt, muss einen geregelten Markt im Sinne von Artikel 4 Absatz 1 Nummer 21 der Richtlinie 2014/65/EU des Europäischen Parlaments und des Rates vom 15. Mai 2014 über Märkte für Finanzinstrumente sowie zur Änderung der Richtlinien 2002/92/EG und 2011/61/EU (ABl. L 173 vom 12.6.2014, S. 349), die zuletzt durch die Verordnung (EU) 2019/2115 (ABl. L 320 vom 11.12.2019, S. 1) geändert worden ist, betreiben, der die Gewähr für die reibungslose Abwicklung des Sekundärhandels mit einem oder mehreren der in Anlage 1 des Brennstoffemissionshandelsgesetzes aufgeführten Brennstoffe oder mit Berechtigungen gemäß § 7 des Treibhausgas-Emissionshandelsgesetzes bietet, indem der geregelte Markt insbesondere</w:t>
      </w:r>
    </w:p>
    <w:p>
      <w:pPr>
        <w:ind w:left="420"/>
      </w:pPr>
      <w:r>
        <w:t xml:space="preserve">1. mit der geeigneten Technik ausgestattet ist, die den Vorgaben der Artikel 24, 25 und 32 der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1; L 314 vom 22.11.2016, S. 72; L 127 vom 23.5.2018, S. 2) und dem Stand der Technik entspricht,</w:t>
      </w:r>
    </w:p>
    <w:p>
      <w:pPr>
        <w:ind w:left="420"/>
      </w:pPr>
      <w:r>
        <w:t xml:space="preserve">2. die zum Betrieb des geregelten Marktes erforderlichen rechtlichen und organisatorischen Voraussetzungen erfüllt und</w:t>
      </w:r>
    </w:p>
    <w:p>
      <w:pPr>
        <w:ind w:left="420"/>
      </w:pPr>
      <w:r>
        <w:t xml:space="preserve">3. über ein dem geregelten Markt angeschlossenes Clearing-System verfügt, das den Anforderungen der Verordnung (EU) Nr. 648/2012 des Europäischen Parlaments und des Rates vom 4. Juli 2012 über OTC-Derivate, zentrale Gegenparteien und Transaktionsregister (ABl. L 201 vom 27.7.2012, S. 1), die zuletzt durch die Verordnung (EU) 2019/2099 (ABl. L 322 vom 12.12.2019, S. 1) geändert worden ist, genügt, und das für die Abwicklung der Verkäufe genutzt wird.</w:t>
      </w:r>
    </w:p>
    <w:p>
      <w:r>
        <w:t xml:space="preserve">(2) Die zuständige Stelle hat sicherzustellen, dass die beauftragte Stelle die Veräußerung der Emissionszertifikate nach den Vorgaben dieser Verordnung durchführt. Hierfür sind in der Beauftragung angemessene Überwachungs-, Eingriffs- und Sanktionsmaßnahmen vorzusehen.</w:t>
      </w:r>
    </w:p>
    <w:p>
      <w:r>
        <w:rPr>
          <w:color w:val="555555"/>
          <w:sz w:val="17"/>
        </w:rPr>
        <w:t xml:space="preserve">Zitiervorschlag: § 4 BEHV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