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BEHV — Aussetzung des Betriebs des Emissionshandelsregisters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setzt den Betrieb des nationalen Emissionshandelsregisters in dem erforderlichen Umfang aus, wenn</w:t>
      </w:r>
    </w:p>
    <w:p>
      <w:pPr>
        <w:ind w:left="420"/>
      </w:pPr>
      <w:r>
        <w:t xml:space="preserve">1. ein erhöhtes Risiko für die Sicherheit des nationalen Emissionshandelsregisters durch unbefugten Zugang zu Daten oder Emissionszertifikaten im nationalen Emissionshandelsregister vorliegt oder</w:t>
      </w:r>
    </w:p>
    <w:p>
      <w:pPr>
        <w:ind w:left="420"/>
      </w:pPr>
      <w:r>
        <w:t xml:space="preserve">2. technische Gründe dies erforderlich machen.</w:t>
      </w:r>
    </w:p>
    <w:p>
      <w:r>
        <w:t xml:space="preserve">(2) Kontoinhaber werden über die Aussetzung des Betriebs unterrichtet. Die Unterrichtung soll Angaben über die voraussichtliche Dauer der Zugangssperre enthalten. Bei Aussetzung des Betriebs gemäß Absatz 1 Nummer 1 kann die zuständige Behörde im Einzelfall zur Verhinderung von Handlungen, die die Aufklärung von Vorfällen nach Absatz 1 Nummer 1 vereiteln könnten, auf die Unterrichtung verzichten.</w:t>
      </w:r>
    </w:p>
    <w:p>
      <w:r>
        <w:rPr>
          <w:color w:val="555555"/>
          <w:sz w:val="17"/>
        </w:rPr>
        <w:t xml:space="preserve">Zitiervorschlag: § 38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