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BEHV — Eintragung der Brennstoffemissionen</w:t>
      </w:r>
    </w:p>
    <w:p>
      <w:r>
        <w:rPr>
          <w:color w:val="555555"/>
          <w:sz w:val="18"/>
        </w:rPr>
        <w:t xml:space="preserve">Brennstoffemissionshandelsverordnung</w:t>
      </w:r>
    </w:p>
    <w:p>
      <w:r>
        <w:rPr>
          <w:color w:val="555555"/>
          <w:sz w:val="18"/>
        </w:rPr>
        <w:t xml:space="preserve">Stand: 16.09.2025 (konsolidierte Textfassung, kein amtliches Inkrafttretensdatum)</w:t>
      </w:r>
    </w:p>
    <w:p>
      <w:r>
        <w:t xml:space="preserve">(1) Der Verantwortliche ist für die ordnungsgemäße Eintragung der nach § 7 Absatz 1 des Brennstoffemissionshandelsgesetzes für ein Kalenderjahr zu berichtenden Brennstoffemissionen in seinem Compliance-Konto verantwortlich.</w:t>
      </w:r>
    </w:p>
    <w:p>
      <w:r>
        <w:t xml:space="preserve">(2) Die Eintragung hat bis zum 31. Juli des jeweiligen Folgejahres zu erfolgen.</w:t>
      </w:r>
    </w:p>
    <w:p>
      <w:r>
        <w:t xml:space="preserve">(3) Stimmt der gemäß § 7 Absatz 1 des Brennstoffemissionshandelsgesetzes berichtete Wert nach dem Stichtag gemäß Absatz 2 Satz 1 nicht mit dem gemäß Absatz 1 in das nationale Emissionshandelsregister eingetragenen Wert überein oder wurde kein Wert eingetragen, fordert die zuständige Behörde den Kontoinhaber auf, den Wert gemäß Absatz 1 zu berichtigen oder einzutragen.</w:t>
      </w:r>
    </w:p>
    <w:p>
      <w:r>
        <w:t xml:space="preserve">(4) Bis zum Ende der Abgabefrist gemäß § 8 des Brennstoffemissionshandelsgesetzes kann der Kontoinhaber den Wert gemäß Absatz 1 selbstständig berichtigen. Nach Ende der Abgabefrist kann die zuständige Behörde den Wert gemäß Absatz 1 eintragen oder berichtigen, wenn der Wert trotz Aufforderung nach Absatz 3 nicht oder nicht richtig eingetragen wurde.</w:t>
      </w:r>
    </w:p>
    <w:p>
      <w:r>
        <w:rPr>
          <w:color w:val="555555"/>
          <w:sz w:val="17"/>
        </w:rPr>
        <w:t xml:space="preserve">Zitiervorschlag: § 36 BEHV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https://recht.nulegal.eu/gesetze/BEHV/36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