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BEHV — Verfügungsbeschränkungen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Die zuständige Behörde weist bestehende gerichtliche oder gesetzliche Verfügungsbeschränkungen im Konto aus.</w:t>
      </w:r>
    </w:p>
    <w:p>
      <w:r>
        <w:t xml:space="preserve">(2) Von der Verfügungsbeschränkung erfasste Emissionszertifikate können nicht auf ein anderes Konto transferiert werden.</w:t>
      </w:r>
    </w:p>
    <w:p>
      <w:r>
        <w:t xml:space="preserve">(3) Betrifft die Verfügungsbeschränkung den Zugang des Kontoinhabers zu seinem gesamten Vermögen, ist das Konto des Kontoinhabers gemäß § 23 Absatz 1 Nummer 10 in den Status „gesperrt“ zu setzen.</w:t>
      </w:r>
    </w:p>
    <w:p>
      <w:r>
        <w:t xml:space="preserve">(4) Nach Beendigung der gerichtlichen oder gesetzlichen Verfügungsbeschränkung hebt die zuständige Behörde die Ausweisung nach Absatz 1 im Konto auf.</w:t>
      </w:r>
    </w:p>
    <w:p>
      <w:r>
        <w:rPr>
          <w:color w:val="555555"/>
          <w:sz w:val="17"/>
        </w:rPr>
        <w:t xml:space="preserve">Zitiervorschlag: § 35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