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BEHV — Bereinigung des Registers, Transaktionsbeschränkung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Die zuständige Behörde transferiert Emissionszertifikate, die ihre Gültigkeit verloren haben und nicht mehr für eine Abgabe gemäß § 8 des Brennstoffemissionshandelsgesetzes in Verbindung mit § 37 verwendet werden können, vom Veräußerungskonto auf ein Löschungskonto.</w:t>
      </w:r>
    </w:p>
    <w:p>
      <w:r>
        <w:t xml:space="preserve">(2) Emissionszertifikate, auf denen gemäß § 28 Absatz 2 Nummer 2 die Zuordnung zu einem Kalenderjahr angegeben ist, das einem Kalenderjahr der Einführungsphase gemäß § 10 Absatz 2 Satz 2 des Brennstoffemissionshandelsgesetzes entspricht, können für Emissionen, die diesem Kalenderjahr zuzuordnen sind, nach Ablauf der Abgabefrist gemäß § 8 des Brennstoffemissionshandelsgesetzes nicht mehr auf Compliance-Konten übertragen werden.</w:t>
      </w:r>
    </w:p>
    <w:p>
      <w:r>
        <w:t xml:space="preserve">(3) Kontoinhaber von Compliance-Konten können bestimmen, dass die Beschränkung nach Absatz 2 für ihr Konto nicht gilt.</w:t>
      </w:r>
    </w:p>
    <w:p>
      <w:r>
        <w:rPr>
          <w:color w:val="555555"/>
          <w:sz w:val="17"/>
        </w:rPr>
        <w:t xml:space="preserve">Zitiervorschlag: § 34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