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BEHV — Annullierung abgeschlossener Transaktionen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Ein Kontoinhaber oder eine kontobevollmächtigte Person kann bei der zuständigen Behörde beantragen, dass folgende irrtümlich veranlasste und abgeschlossene Transaktionen annulliert werden:</w:t>
      </w:r>
    </w:p>
    <w:p>
      <w:pPr>
        <w:ind w:left="420"/>
      </w:pPr>
      <w:r>
        <w:t xml:space="preserve">1. Löschung von Emissionszertifikaten gemäß § 33 oder</w:t>
      </w:r>
    </w:p>
    <w:p>
      <w:pPr>
        <w:ind w:left="420"/>
      </w:pPr>
      <w:r>
        <w:t xml:space="preserve">2. Abgabe von Emissionszertifikaten gemäß § 37.</w:t>
      </w:r>
    </w:p>
    <w:p>
      <w:r>
        <w:t xml:space="preserve">(2) Der Antrag nach Absatz 1 Nummer 1 muss innerhalb von zehn Arbeitstagen nach Abschluss der Löschung nach § 33 bei der zuständigen Behörde eingehen. Der Antrag nach Absatz 1 Nummer 2 muss innerhalb von zehn Arbeitstagen nach Ablauf der Frist nach § 8 des Brennstoffemissionshandelsgesetzes bei der zuständigen Behörde eingehen. Die Fristen nach den Sätzen 1 und 2 sind Ausschlussfristen. Der Antrag muss eine Erklärung dahingehend enthalten, dass die Transaktion irrtümlicherweise veranlasst wurde.</w:t>
      </w:r>
    </w:p>
    <w:p>
      <w:r>
        <w:t xml:space="preserve">(3) Eine Annullierung ist ausgeschlossen, wenn</w:t>
      </w:r>
    </w:p>
    <w:p>
      <w:pPr>
        <w:ind w:left="420"/>
      </w:pPr>
      <w:r>
        <w:t xml:space="preserve">1. auf dem Empfängerkonto der Transaktion, die annulliert werden soll, die von der Transaktion umfassten Emissionszertifikate nicht mehr verbucht sind oder</w:t>
      </w:r>
    </w:p>
    <w:p>
      <w:pPr>
        <w:ind w:left="420"/>
      </w:pPr>
      <w:r>
        <w:t xml:space="preserve">2. der Verantwortliche wegen der Annullierung der Transaktion seine Abgabepflicht gemäß § 37 nicht erfüllen könnte.</w:t>
      </w:r>
    </w:p>
    <w:p>
      <w:r>
        <w:t xml:space="preserve">(4) Die zuständige Behörde stellt sicher, dass die Annullierung mit Emissionszertifikaten der gleichen Gültigkeit und derselben Einheitenkennung wie in der zu annullierenden Transaktion gemäß Absatz 1 durchgeführt wird.</w:t>
      </w:r>
    </w:p>
    <w:p>
      <w:r>
        <w:rPr>
          <w:color w:val="555555"/>
          <w:sz w:val="17"/>
        </w:rPr>
        <w:t xml:space="preserve">Zitiervorschlag: § 32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