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28 BEHV — Erzeugung von Emissionszertifikaten</w:t>
      </w:r>
    </w:p>
    <w:p>
      <w:r>
        <w:rPr>
          <w:color w:val="555555"/>
          <w:sz w:val="18"/>
        </w:rPr>
        <w:t xml:space="preserve">Brennstoffemissionshandelsverordnung</w:t>
      </w:r>
    </w:p>
    <w:p>
      <w:r>
        <w:rPr>
          <w:color w:val="555555"/>
          <w:sz w:val="18"/>
        </w:rPr>
        <w:t xml:space="preserve">Stand: 16.09.2025 (konsolidierte Textfassung, kein amtliches Inkrafttretensdatum)</w:t>
      </w:r>
    </w:p>
    <w:p>
      <w:r>
        <w:t xml:space="preserve">(1) Die zuständige Behörde erzeugt auf einem Nationalkonto die Menge an Emissionszertifikaten nach § 10 Absatz 1 des Brennstoffemissionshandelsgesetzes einschließlich des zusätzlichen Bedarfs, der sich in der Einführungsphase ergeben kann.</w:t>
      </w:r>
    </w:p>
    <w:p>
      <w:r>
        <w:t xml:space="preserve">(2) Die zuständige Behörde stellt sicher, dass</w:t>
      </w:r>
    </w:p>
    <w:p>
      <w:pPr>
        <w:ind w:left="420"/>
      </w:pPr>
      <w:r>
        <w:t xml:space="preserve">1. jedes Emissionszertifikat bei seiner Erzeugung eine eindeutige Einheitenkennung erhält,</w:t>
      </w:r>
    </w:p>
    <w:p>
      <w:pPr>
        <w:ind w:left="420"/>
      </w:pPr>
      <w:r>
        <w:t xml:space="preserve">2. auf Emissionszertifikaten gemäß § 9 Absatz 1 des Brennstoffemissionshandelsgesetzes die Zuordnung zu einem Kalenderjahr sowie die Zuordnung zur jeweiligen Handelsperiode angegeben ist.</w:t>
      </w:r>
    </w:p>
    <w:p>
      <w:r>
        <w:t xml:space="preserve">(3) Die zuständige Behörde überträgt erzeugte Emissionszertifikate zum Zwecke der späteren Übertragung nach § 30 von dem Nationalkonto auf das Veräußerungskonto. Im Fall der Beauftragung einer beauftragten Stelle überträgt die zuständige Behörde die erzeugten Emissionszertifikate von dem Nationalkonto auf das Veräußerungskonto der beauftragten Stelle.</w:t>
      </w:r>
    </w:p>
    <w:p>
      <w:r>
        <w:rPr>
          <w:color w:val="555555"/>
          <w:sz w:val="17"/>
        </w:rPr>
        <w:t xml:space="preserve">Zitiervorschlag: § 28 BEHV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https://recht.nulegal.eu/gesetze/BEHV/28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