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BEHV — Sperrung des Zugangs zum Emissionshandelsregister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Die zuständige Behörde sperrt den Zugang einer kontobevollmächtigten Person zum nationalen Emissionshandelsregister, wenn</w:t>
      </w:r>
    </w:p>
    <w:p>
      <w:pPr>
        <w:ind w:left="420"/>
      </w:pPr>
      <w:r>
        <w:t xml:space="preserve">1. die kontobevollmächtigte Person versucht hat, Zugang zu Konten, Vorgängen oder Transaktionen zu erhalten, für die sie nicht zugangsberechtigt ist,</w:t>
      </w:r>
    </w:p>
    <w:p>
      <w:pPr>
        <w:ind w:left="420"/>
      </w:pPr>
      <w:r>
        <w:t xml:space="preserve">2. die kontobevollmächtigte Person versucht hat, die Sicherheit, die Zugänglichkeit, die Integrität oder die Vertraulichkeit des nationalen Emissionshandelsregisters oder der darin verarbeiteten oder gespeicherten Daten zu beeinträchtigen,</w:t>
      </w:r>
    </w:p>
    <w:p>
      <w:pPr>
        <w:ind w:left="420"/>
      </w:pPr>
      <w:r>
        <w:t xml:space="preserve">3. die zuständige Behörde davon Kenntnis erhält, dass die kontobevollmächtigte Person das Konto zur Begehung eines Verbrechens im Sinne von § 12 Absatz 1 des Strafgesetzbuchs oder einer Unterschlagung, Erpressung, eines Betrugs, Subventionsbetrugs, Computerbetrugs, einer Untreue, Geldwäsche, Terrorismusfinanzierung, Urkundenfälschung, Hehlerei, eines Wuchers, einer Steuerstraftat oder einer Insolvenzstraftat gebraucht oder gebraucht hat oder</w:t>
      </w:r>
    </w:p>
    <w:p>
      <w:pPr>
        <w:ind w:left="420"/>
      </w:pPr>
      <w:r>
        <w:t xml:space="preserve">4. die Voraussetzungen für die Ernennung einer kontobevollmächtigten Person nicht vorlagen oder nachträglich weggefallen sind.</w:t>
      </w:r>
    </w:p>
    <w:p>
      <w:r>
        <w:t xml:space="preserve">(2) Die zuständige Behörde öffnet den Zugang einer kontobevollmächtigten Person zum nationalen Emissionshandelsregister wieder, sobald die Gründe, die zur Sperrung nach Absatz 1 Nummer 4 geführt haben, nicht mehr vorliegen.</w:t>
      </w:r>
    </w:p>
    <w:p>
      <w:r>
        <w:t xml:space="preserve">(3) Liegen die Gründe, die zur Sperrung einer kontobevollmächtigten Person nach Absatz 1 Nummer 4 geführt haben, trotz Setzung einer angemessenen Frist weiterhin vor, entfernt die zuständige Behörde die kontobevollmächtigte Person aus dieser Funktion.</w:t>
      </w:r>
    </w:p>
    <w:p>
      <w:r>
        <w:rPr>
          <w:color w:val="555555"/>
          <w:sz w:val="17"/>
        </w:rPr>
        <w:t xml:space="preserve">Zitiervorschlag: § 27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